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C5976" w14:textId="0040EB82" w:rsidR="0017091A" w:rsidRPr="0087534D" w:rsidRDefault="00BF64A8" w:rsidP="0017091A">
      <w:pPr>
        <w:pStyle w:val="Title"/>
        <w:rPr>
          <w:b/>
          <w:color w:val="2F5496" w:themeColor="accent5" w:themeShade="BF"/>
          <w:sz w:val="48"/>
          <w:szCs w:val="48"/>
          <w:u w:val="single"/>
        </w:rPr>
      </w:pPr>
      <w:r w:rsidRPr="0087534D">
        <w:rPr>
          <w:b/>
          <w:color w:val="2F5496" w:themeColor="accent5" w:themeShade="BF"/>
          <w:sz w:val="48"/>
          <w:szCs w:val="48"/>
          <w:u w:val="single"/>
        </w:rPr>
        <w:t xml:space="preserve">Incorporating </w:t>
      </w:r>
      <w:r w:rsidR="0017091A" w:rsidRPr="0087534D">
        <w:rPr>
          <w:b/>
          <w:color w:val="2F5496" w:themeColor="accent5" w:themeShade="BF"/>
          <w:sz w:val="48"/>
          <w:szCs w:val="48"/>
          <w:u w:val="single"/>
        </w:rPr>
        <w:t xml:space="preserve">GRADE in </w:t>
      </w:r>
      <w:r w:rsidR="00320F41" w:rsidRPr="0087534D">
        <w:rPr>
          <w:b/>
          <w:color w:val="2F5496" w:themeColor="accent5" w:themeShade="BF"/>
          <w:sz w:val="48"/>
          <w:szCs w:val="48"/>
          <w:u w:val="single"/>
        </w:rPr>
        <w:t>Cochrane R</w:t>
      </w:r>
      <w:r w:rsidR="0017091A" w:rsidRPr="0087534D">
        <w:rPr>
          <w:b/>
          <w:color w:val="2F5496" w:themeColor="accent5" w:themeShade="BF"/>
          <w:sz w:val="48"/>
          <w:szCs w:val="48"/>
          <w:u w:val="single"/>
        </w:rPr>
        <w:t>eviews</w:t>
      </w:r>
      <w:r w:rsidR="004132FA" w:rsidRPr="0087534D">
        <w:rPr>
          <w:b/>
          <w:color w:val="2F5496" w:themeColor="accent5" w:themeShade="BF"/>
          <w:sz w:val="48"/>
          <w:szCs w:val="48"/>
          <w:u w:val="single"/>
        </w:rPr>
        <w:t>: Feedback from the CEU screening programme</w:t>
      </w:r>
    </w:p>
    <w:p w14:paraId="6E50DD8E" w14:textId="77777777" w:rsidR="00BF64A8" w:rsidRDefault="00BF64A8" w:rsidP="00BF64A8"/>
    <w:p w14:paraId="2F507AB0" w14:textId="77777777" w:rsidR="00BF64A8" w:rsidRPr="0087534D" w:rsidRDefault="00BF64A8" w:rsidP="00BF64A8">
      <w:pPr>
        <w:rPr>
          <w:sz w:val="22"/>
          <w:szCs w:val="22"/>
        </w:rPr>
      </w:pPr>
      <w:r w:rsidRPr="0087534D">
        <w:rPr>
          <w:i/>
          <w:sz w:val="22"/>
          <w:szCs w:val="22"/>
        </w:rPr>
        <w:t xml:space="preserve">Toby Lasserson, Nancy Santesso, Miranda Cumpston, Rachel Marshall &amp; </w:t>
      </w:r>
      <w:r w:rsidR="007F6C66" w:rsidRPr="0087534D">
        <w:rPr>
          <w:i/>
          <w:sz w:val="22"/>
          <w:szCs w:val="22"/>
        </w:rPr>
        <w:t xml:space="preserve">Orla </w:t>
      </w:r>
      <w:proofErr w:type="spellStart"/>
      <w:r w:rsidR="007F6C66" w:rsidRPr="0087534D">
        <w:rPr>
          <w:i/>
          <w:sz w:val="22"/>
          <w:szCs w:val="22"/>
        </w:rPr>
        <w:t>Ní</w:t>
      </w:r>
      <w:proofErr w:type="spellEnd"/>
      <w:r w:rsidR="007F6C66" w:rsidRPr="0087534D">
        <w:rPr>
          <w:i/>
          <w:sz w:val="22"/>
          <w:szCs w:val="22"/>
        </w:rPr>
        <w:t xml:space="preserve"> </w:t>
      </w:r>
      <w:proofErr w:type="spellStart"/>
      <w:r w:rsidR="007F6C66" w:rsidRPr="0087534D">
        <w:rPr>
          <w:i/>
          <w:sz w:val="22"/>
          <w:szCs w:val="22"/>
        </w:rPr>
        <w:t>Ógáin</w:t>
      </w:r>
      <w:proofErr w:type="spellEnd"/>
    </w:p>
    <w:p w14:paraId="3008E75A" w14:textId="459883CF" w:rsidR="007C271E" w:rsidRDefault="00BE40E9" w:rsidP="00D25B8B">
      <w:pPr>
        <w:spacing w:line="360" w:lineRule="auto"/>
        <w:rPr>
          <w:sz w:val="22"/>
          <w:szCs w:val="22"/>
        </w:rPr>
      </w:pPr>
      <w:r>
        <w:rPr>
          <w:sz w:val="22"/>
          <w:szCs w:val="22"/>
        </w:rPr>
        <w:t xml:space="preserve">Assessing the quality of the evidence is an integral part of undertaking a Cochrane Review. </w:t>
      </w:r>
      <w:r w:rsidR="005F2F43">
        <w:rPr>
          <w:sz w:val="22"/>
          <w:szCs w:val="22"/>
        </w:rPr>
        <w:t>GR</w:t>
      </w:r>
      <w:r w:rsidR="00763F91">
        <w:rPr>
          <w:sz w:val="22"/>
          <w:szCs w:val="22"/>
        </w:rPr>
        <w:t xml:space="preserve">ADE is an established method to help authors rate the quality of evidence and to communicate the </w:t>
      </w:r>
      <w:r w:rsidR="00FB1AD8">
        <w:rPr>
          <w:sz w:val="22"/>
          <w:szCs w:val="22"/>
        </w:rPr>
        <w:t xml:space="preserve">key results </w:t>
      </w:r>
      <w:r>
        <w:rPr>
          <w:sz w:val="22"/>
          <w:szCs w:val="22"/>
        </w:rPr>
        <w:t xml:space="preserve">of </w:t>
      </w:r>
      <w:r w:rsidR="00763F91">
        <w:rPr>
          <w:sz w:val="22"/>
          <w:szCs w:val="22"/>
        </w:rPr>
        <w:t>systematic review</w:t>
      </w:r>
      <w:r w:rsidR="005F2F43">
        <w:rPr>
          <w:sz w:val="22"/>
          <w:szCs w:val="22"/>
        </w:rPr>
        <w:t>s</w:t>
      </w:r>
      <w:r w:rsidR="009B2AEC">
        <w:rPr>
          <w:sz w:val="22"/>
          <w:szCs w:val="22"/>
        </w:rPr>
        <w:t xml:space="preserve"> to users</w:t>
      </w:r>
      <w:r w:rsidR="002A4169">
        <w:rPr>
          <w:sz w:val="22"/>
          <w:szCs w:val="22"/>
        </w:rPr>
        <w:t xml:space="preserve">. It </w:t>
      </w:r>
      <w:r w:rsidR="007C271E">
        <w:rPr>
          <w:sz w:val="22"/>
          <w:szCs w:val="22"/>
        </w:rPr>
        <w:t xml:space="preserve">is a mandatory MECIR </w:t>
      </w:r>
      <w:r w:rsidR="00BF08CB">
        <w:rPr>
          <w:sz w:val="22"/>
          <w:szCs w:val="22"/>
        </w:rPr>
        <w:t xml:space="preserve">conduct </w:t>
      </w:r>
      <w:r w:rsidR="007C271E">
        <w:rPr>
          <w:sz w:val="22"/>
          <w:szCs w:val="22"/>
        </w:rPr>
        <w:t xml:space="preserve">standard </w:t>
      </w:r>
      <w:r w:rsidR="002A4169">
        <w:rPr>
          <w:sz w:val="22"/>
          <w:szCs w:val="22"/>
        </w:rPr>
        <w:t xml:space="preserve">to base the interpretation of the evidence on the five GRADE considerations </w:t>
      </w:r>
      <w:r w:rsidR="007C271E">
        <w:rPr>
          <w:sz w:val="22"/>
          <w:szCs w:val="22"/>
        </w:rPr>
        <w:t>(C76)</w:t>
      </w:r>
      <w:r w:rsidR="002A4169">
        <w:rPr>
          <w:sz w:val="22"/>
          <w:szCs w:val="22"/>
        </w:rPr>
        <w:t>: risk of bias, imprecision, inconsistency, indirectness and publication bias</w:t>
      </w:r>
      <w:r w:rsidR="00763F91">
        <w:rPr>
          <w:sz w:val="22"/>
          <w:szCs w:val="22"/>
        </w:rPr>
        <w:t>.</w:t>
      </w:r>
      <w:r w:rsidR="00BF08CB">
        <w:rPr>
          <w:sz w:val="22"/>
          <w:szCs w:val="22"/>
        </w:rPr>
        <w:t xml:space="preserve">  </w:t>
      </w:r>
      <w:r w:rsidR="00763F91">
        <w:rPr>
          <w:sz w:val="22"/>
          <w:szCs w:val="22"/>
        </w:rPr>
        <w:t xml:space="preserve"> </w:t>
      </w:r>
    </w:p>
    <w:p w14:paraId="3D7F6D35" w14:textId="5A470226" w:rsidR="00763F91" w:rsidRDefault="00A83C30" w:rsidP="00D25B8B">
      <w:pPr>
        <w:spacing w:line="360" w:lineRule="auto"/>
        <w:rPr>
          <w:sz w:val="22"/>
          <w:szCs w:val="22"/>
        </w:rPr>
      </w:pPr>
      <w:r w:rsidRPr="00A83C30">
        <w:rPr>
          <w:sz w:val="22"/>
          <w:szCs w:val="22"/>
        </w:rPr>
        <w:t>Since the start of the CEU review screening progra</w:t>
      </w:r>
      <w:r w:rsidR="002A4169">
        <w:rPr>
          <w:sz w:val="22"/>
          <w:szCs w:val="22"/>
        </w:rPr>
        <w:t xml:space="preserve">mme in September 2013 we have been able to see </w:t>
      </w:r>
      <w:r w:rsidR="00F66938">
        <w:rPr>
          <w:sz w:val="22"/>
          <w:szCs w:val="22"/>
        </w:rPr>
        <w:t xml:space="preserve">how </w:t>
      </w:r>
      <w:r w:rsidRPr="00A83C30">
        <w:rPr>
          <w:sz w:val="22"/>
          <w:szCs w:val="22"/>
        </w:rPr>
        <w:t xml:space="preserve">GRADE </w:t>
      </w:r>
      <w:r w:rsidR="00F66938">
        <w:rPr>
          <w:sz w:val="22"/>
          <w:szCs w:val="22"/>
        </w:rPr>
        <w:t xml:space="preserve">is used to </w:t>
      </w:r>
      <w:r w:rsidRPr="00A83C30">
        <w:rPr>
          <w:sz w:val="22"/>
          <w:szCs w:val="22"/>
        </w:rPr>
        <w:t>assess</w:t>
      </w:r>
      <w:r w:rsidR="00F66938">
        <w:rPr>
          <w:sz w:val="22"/>
          <w:szCs w:val="22"/>
        </w:rPr>
        <w:t xml:space="preserve"> and communicate </w:t>
      </w:r>
      <w:r w:rsidRPr="00A83C30">
        <w:rPr>
          <w:sz w:val="22"/>
          <w:szCs w:val="22"/>
        </w:rPr>
        <w:t xml:space="preserve">the quality of a body of evidence. </w:t>
      </w:r>
      <w:r w:rsidR="002A4169">
        <w:rPr>
          <w:sz w:val="22"/>
          <w:szCs w:val="22"/>
        </w:rPr>
        <w:t>We also recognise</w:t>
      </w:r>
      <w:r w:rsidRPr="00A83C30">
        <w:rPr>
          <w:sz w:val="22"/>
          <w:szCs w:val="22"/>
        </w:rPr>
        <w:t xml:space="preserve"> some</w:t>
      </w:r>
      <w:r>
        <w:rPr>
          <w:sz w:val="22"/>
          <w:szCs w:val="22"/>
        </w:rPr>
        <w:t xml:space="preserve"> important challenges Cochrane R</w:t>
      </w:r>
      <w:r w:rsidRPr="00A83C30">
        <w:rPr>
          <w:sz w:val="22"/>
          <w:szCs w:val="22"/>
        </w:rPr>
        <w:t xml:space="preserve">eview authors and editorial groups have </w:t>
      </w:r>
      <w:r>
        <w:rPr>
          <w:sz w:val="22"/>
          <w:szCs w:val="22"/>
        </w:rPr>
        <w:t>e</w:t>
      </w:r>
      <w:r w:rsidR="009060F5">
        <w:rPr>
          <w:sz w:val="22"/>
          <w:szCs w:val="22"/>
        </w:rPr>
        <w:t xml:space="preserve">ncountered </w:t>
      </w:r>
      <w:r w:rsidR="00637227">
        <w:rPr>
          <w:sz w:val="22"/>
          <w:szCs w:val="22"/>
        </w:rPr>
        <w:t xml:space="preserve">with implementing </w:t>
      </w:r>
      <w:r w:rsidR="002A4169">
        <w:rPr>
          <w:sz w:val="22"/>
          <w:szCs w:val="22"/>
        </w:rPr>
        <w:t>GRADE</w:t>
      </w:r>
      <w:r w:rsidRPr="00A83C30">
        <w:rPr>
          <w:sz w:val="22"/>
          <w:szCs w:val="22"/>
        </w:rPr>
        <w:t xml:space="preserve">. </w:t>
      </w:r>
    </w:p>
    <w:p w14:paraId="5C8D57BA" w14:textId="1101A53E" w:rsidR="0067343B" w:rsidRPr="00F75A05" w:rsidRDefault="00A83C30" w:rsidP="00D25B8B">
      <w:pPr>
        <w:spacing w:line="360" w:lineRule="auto"/>
        <w:rPr>
          <w:bCs/>
          <w:sz w:val="22"/>
          <w:szCs w:val="22"/>
        </w:rPr>
      </w:pPr>
      <w:r>
        <w:rPr>
          <w:sz w:val="22"/>
          <w:szCs w:val="22"/>
        </w:rPr>
        <w:t xml:space="preserve">As a result of this </w:t>
      </w:r>
      <w:r w:rsidR="009060F5">
        <w:rPr>
          <w:sz w:val="22"/>
          <w:szCs w:val="22"/>
        </w:rPr>
        <w:t xml:space="preserve">experience </w:t>
      </w:r>
      <w:r>
        <w:rPr>
          <w:sz w:val="22"/>
          <w:szCs w:val="22"/>
        </w:rPr>
        <w:t>w</w:t>
      </w:r>
      <w:r w:rsidR="000E6598" w:rsidRPr="0087534D">
        <w:rPr>
          <w:sz w:val="22"/>
          <w:szCs w:val="22"/>
        </w:rPr>
        <w:t xml:space="preserve">e are sharing </w:t>
      </w:r>
      <w:r w:rsidR="00B73B11" w:rsidRPr="0087534D">
        <w:rPr>
          <w:sz w:val="22"/>
          <w:szCs w:val="22"/>
        </w:rPr>
        <w:t xml:space="preserve">our thoughts on </w:t>
      </w:r>
      <w:r w:rsidR="000E6598" w:rsidRPr="0087534D">
        <w:rPr>
          <w:sz w:val="22"/>
          <w:szCs w:val="22"/>
        </w:rPr>
        <w:t>some of the reviews which</w:t>
      </w:r>
      <w:r w:rsidR="005A37DB">
        <w:rPr>
          <w:sz w:val="22"/>
          <w:szCs w:val="22"/>
        </w:rPr>
        <w:t xml:space="preserve"> highlight </w:t>
      </w:r>
      <w:r w:rsidR="00933C52" w:rsidRPr="0087534D">
        <w:rPr>
          <w:sz w:val="22"/>
          <w:szCs w:val="22"/>
        </w:rPr>
        <w:t>four key aspects of bringing GRADE</w:t>
      </w:r>
      <w:r w:rsidR="00BE40E9">
        <w:rPr>
          <w:sz w:val="22"/>
          <w:szCs w:val="22"/>
        </w:rPr>
        <w:t xml:space="preserve"> methods and ratings</w:t>
      </w:r>
      <w:r w:rsidR="00933C52" w:rsidRPr="0087534D">
        <w:rPr>
          <w:sz w:val="22"/>
          <w:szCs w:val="22"/>
        </w:rPr>
        <w:t xml:space="preserve"> into </w:t>
      </w:r>
      <w:r w:rsidR="009B2AEC">
        <w:rPr>
          <w:sz w:val="22"/>
          <w:szCs w:val="22"/>
        </w:rPr>
        <w:t>the text of Cochrane R</w:t>
      </w:r>
      <w:r w:rsidR="00933C52" w:rsidRPr="0087534D">
        <w:rPr>
          <w:sz w:val="22"/>
          <w:szCs w:val="22"/>
        </w:rPr>
        <w:t>eviews</w:t>
      </w:r>
      <w:r w:rsidR="00126D92" w:rsidRPr="0087534D">
        <w:rPr>
          <w:sz w:val="22"/>
          <w:szCs w:val="22"/>
        </w:rPr>
        <w:t xml:space="preserve">: </w:t>
      </w:r>
    </w:p>
    <w:p w14:paraId="356B73BB" w14:textId="77777777" w:rsidR="00EF5CA3" w:rsidRPr="0087534D" w:rsidRDefault="00613A37" w:rsidP="007D2953">
      <w:pPr>
        <w:pStyle w:val="ListParagraph"/>
        <w:numPr>
          <w:ilvl w:val="0"/>
          <w:numId w:val="7"/>
        </w:numPr>
        <w:spacing w:line="360" w:lineRule="auto"/>
        <w:rPr>
          <w:sz w:val="22"/>
          <w:szCs w:val="22"/>
          <w:u w:val="single"/>
        </w:rPr>
      </w:pPr>
      <w:r w:rsidRPr="0087534D">
        <w:rPr>
          <w:sz w:val="22"/>
          <w:szCs w:val="22"/>
        </w:rPr>
        <w:t xml:space="preserve">Describing </w:t>
      </w:r>
      <w:r w:rsidR="00DF0273" w:rsidRPr="0087534D">
        <w:rPr>
          <w:sz w:val="22"/>
          <w:szCs w:val="22"/>
        </w:rPr>
        <w:t xml:space="preserve">methods for </w:t>
      </w:r>
      <w:r w:rsidR="00950894" w:rsidRPr="0087534D">
        <w:rPr>
          <w:sz w:val="22"/>
          <w:szCs w:val="22"/>
        </w:rPr>
        <w:t>assessi</w:t>
      </w:r>
      <w:r w:rsidRPr="0087534D">
        <w:rPr>
          <w:sz w:val="22"/>
          <w:szCs w:val="22"/>
        </w:rPr>
        <w:t xml:space="preserve">ng the quality of the evidence </w:t>
      </w:r>
      <w:r w:rsidR="002C6242" w:rsidRPr="0087534D">
        <w:rPr>
          <w:sz w:val="22"/>
          <w:szCs w:val="22"/>
        </w:rPr>
        <w:t xml:space="preserve">under </w:t>
      </w:r>
      <w:r w:rsidR="00DF0273" w:rsidRPr="0087534D">
        <w:rPr>
          <w:sz w:val="22"/>
          <w:szCs w:val="22"/>
        </w:rPr>
        <w:t xml:space="preserve">the </w:t>
      </w:r>
      <w:r w:rsidR="00D25B8B" w:rsidRPr="0087534D">
        <w:rPr>
          <w:sz w:val="22"/>
          <w:szCs w:val="22"/>
        </w:rPr>
        <w:t>‘</w:t>
      </w:r>
      <w:r w:rsidR="00DF0273" w:rsidRPr="0087534D">
        <w:rPr>
          <w:i/>
          <w:iCs/>
          <w:sz w:val="22"/>
          <w:szCs w:val="22"/>
        </w:rPr>
        <w:t>Data c</w:t>
      </w:r>
      <w:r w:rsidR="0077577F" w:rsidRPr="0087534D">
        <w:rPr>
          <w:i/>
          <w:iCs/>
          <w:sz w:val="22"/>
          <w:szCs w:val="22"/>
        </w:rPr>
        <w:t>ollection &amp; analysis</w:t>
      </w:r>
      <w:r w:rsidR="00D25B8B" w:rsidRPr="0087534D">
        <w:rPr>
          <w:i/>
          <w:iCs/>
          <w:sz w:val="22"/>
          <w:szCs w:val="22"/>
        </w:rPr>
        <w:t>’</w:t>
      </w:r>
      <w:r w:rsidR="0077577F" w:rsidRPr="0087534D">
        <w:rPr>
          <w:sz w:val="22"/>
          <w:szCs w:val="22"/>
        </w:rPr>
        <w:t xml:space="preserve"> section of</w:t>
      </w:r>
      <w:r w:rsidR="00DF0273" w:rsidRPr="0087534D">
        <w:rPr>
          <w:sz w:val="22"/>
          <w:szCs w:val="22"/>
        </w:rPr>
        <w:t xml:space="preserve"> protocols and full reviews</w:t>
      </w:r>
      <w:r w:rsidRPr="0087534D">
        <w:rPr>
          <w:sz w:val="22"/>
          <w:szCs w:val="22"/>
        </w:rPr>
        <w:t>.</w:t>
      </w:r>
      <w:r w:rsidR="0077577F" w:rsidRPr="0087534D">
        <w:rPr>
          <w:sz w:val="22"/>
          <w:szCs w:val="22"/>
        </w:rPr>
        <w:t xml:space="preserve"> </w:t>
      </w:r>
    </w:p>
    <w:p w14:paraId="76439BC1" w14:textId="77777777" w:rsidR="000E6598" w:rsidRPr="0087534D" w:rsidRDefault="00126D92" w:rsidP="007D2953">
      <w:pPr>
        <w:pStyle w:val="ListParagraph"/>
        <w:numPr>
          <w:ilvl w:val="0"/>
          <w:numId w:val="7"/>
        </w:numPr>
        <w:spacing w:line="360" w:lineRule="auto"/>
        <w:rPr>
          <w:sz w:val="22"/>
          <w:szCs w:val="22"/>
        </w:rPr>
      </w:pPr>
      <w:r w:rsidRPr="0087534D">
        <w:rPr>
          <w:sz w:val="22"/>
          <w:szCs w:val="22"/>
        </w:rPr>
        <w:t>Explain</w:t>
      </w:r>
      <w:r w:rsidR="000E6598" w:rsidRPr="0087534D">
        <w:rPr>
          <w:sz w:val="22"/>
          <w:szCs w:val="22"/>
        </w:rPr>
        <w:t>ing</w:t>
      </w:r>
      <w:r w:rsidRPr="0087534D">
        <w:rPr>
          <w:sz w:val="22"/>
          <w:szCs w:val="22"/>
        </w:rPr>
        <w:t xml:space="preserve"> </w:t>
      </w:r>
      <w:r w:rsidR="009B3341" w:rsidRPr="0087534D">
        <w:rPr>
          <w:sz w:val="22"/>
          <w:szCs w:val="22"/>
        </w:rPr>
        <w:t xml:space="preserve">decisions </w:t>
      </w:r>
      <w:r w:rsidR="00654D03" w:rsidRPr="0087534D">
        <w:rPr>
          <w:sz w:val="22"/>
          <w:szCs w:val="22"/>
        </w:rPr>
        <w:t xml:space="preserve">about </w:t>
      </w:r>
      <w:r w:rsidR="009B3341" w:rsidRPr="0087534D">
        <w:rPr>
          <w:sz w:val="22"/>
          <w:szCs w:val="22"/>
        </w:rPr>
        <w:t>the quality of the evidence</w:t>
      </w:r>
      <w:r w:rsidR="004D6480" w:rsidRPr="0087534D">
        <w:rPr>
          <w:sz w:val="22"/>
          <w:szCs w:val="22"/>
        </w:rPr>
        <w:t xml:space="preserve"> in reporting of results</w:t>
      </w:r>
      <w:r w:rsidR="00950894" w:rsidRPr="0087534D">
        <w:rPr>
          <w:sz w:val="22"/>
          <w:szCs w:val="22"/>
        </w:rPr>
        <w:t xml:space="preserve">. </w:t>
      </w:r>
    </w:p>
    <w:p w14:paraId="1ABB3E9D" w14:textId="77777777" w:rsidR="000E6598" w:rsidRPr="0087534D" w:rsidRDefault="000E6598" w:rsidP="007D2953">
      <w:pPr>
        <w:pStyle w:val="ListParagraph"/>
        <w:numPr>
          <w:ilvl w:val="0"/>
          <w:numId w:val="7"/>
        </w:numPr>
        <w:spacing w:line="360" w:lineRule="auto"/>
        <w:rPr>
          <w:sz w:val="22"/>
          <w:szCs w:val="22"/>
        </w:rPr>
      </w:pPr>
      <w:r w:rsidRPr="0087534D">
        <w:rPr>
          <w:sz w:val="22"/>
          <w:szCs w:val="22"/>
        </w:rPr>
        <w:t xml:space="preserve">Incorporating information about </w:t>
      </w:r>
      <w:r w:rsidR="00EE42B8">
        <w:rPr>
          <w:sz w:val="22"/>
          <w:szCs w:val="22"/>
        </w:rPr>
        <w:t>the quality of evidence in the D</w:t>
      </w:r>
      <w:r w:rsidRPr="0087534D">
        <w:rPr>
          <w:sz w:val="22"/>
          <w:szCs w:val="22"/>
        </w:rPr>
        <w:t>iscussion.</w:t>
      </w:r>
    </w:p>
    <w:p w14:paraId="1C5DDE7C" w14:textId="3A3F1108" w:rsidR="003A6E77" w:rsidRPr="000B5A4F" w:rsidRDefault="009627DA" w:rsidP="00502D47">
      <w:pPr>
        <w:pStyle w:val="ListParagraph"/>
        <w:numPr>
          <w:ilvl w:val="0"/>
          <w:numId w:val="7"/>
        </w:numPr>
        <w:spacing w:line="360" w:lineRule="auto"/>
        <w:rPr>
          <w:b/>
          <w:bCs/>
        </w:rPr>
      </w:pPr>
      <w:r>
        <w:rPr>
          <w:sz w:val="22"/>
          <w:szCs w:val="22"/>
        </w:rPr>
        <w:t xml:space="preserve">Drawing on quality of evidence </w:t>
      </w:r>
      <w:r w:rsidR="004319EA">
        <w:rPr>
          <w:sz w:val="22"/>
          <w:szCs w:val="22"/>
        </w:rPr>
        <w:t xml:space="preserve">ratings </w:t>
      </w:r>
      <w:r w:rsidR="004954AD">
        <w:rPr>
          <w:sz w:val="22"/>
          <w:szCs w:val="22"/>
        </w:rPr>
        <w:t xml:space="preserve">when </w:t>
      </w:r>
      <w:r w:rsidR="001B2ADF">
        <w:rPr>
          <w:sz w:val="22"/>
          <w:szCs w:val="22"/>
        </w:rPr>
        <w:t>summarising</w:t>
      </w:r>
      <w:r w:rsidR="00E62F87">
        <w:rPr>
          <w:sz w:val="22"/>
          <w:szCs w:val="22"/>
        </w:rPr>
        <w:t xml:space="preserve"> </w:t>
      </w:r>
      <w:r w:rsidR="001B2ADF">
        <w:rPr>
          <w:sz w:val="22"/>
          <w:szCs w:val="22"/>
        </w:rPr>
        <w:t xml:space="preserve">and interpreting </w:t>
      </w:r>
      <w:r w:rsidR="00E62F87">
        <w:rPr>
          <w:sz w:val="22"/>
          <w:szCs w:val="22"/>
        </w:rPr>
        <w:t xml:space="preserve">the results e.g. </w:t>
      </w:r>
      <w:r w:rsidR="004D6480" w:rsidRPr="0087534D">
        <w:rPr>
          <w:sz w:val="22"/>
          <w:szCs w:val="22"/>
        </w:rPr>
        <w:t xml:space="preserve">abstracts, plain language summaries </w:t>
      </w:r>
      <w:r w:rsidR="001B2ADF">
        <w:rPr>
          <w:sz w:val="22"/>
          <w:szCs w:val="22"/>
        </w:rPr>
        <w:t>and</w:t>
      </w:r>
      <w:r w:rsidR="004D6480" w:rsidRPr="0087534D">
        <w:rPr>
          <w:sz w:val="22"/>
          <w:szCs w:val="22"/>
        </w:rPr>
        <w:t xml:space="preserve"> implications for practice</w:t>
      </w:r>
      <w:r w:rsidR="00E62F87">
        <w:rPr>
          <w:sz w:val="22"/>
          <w:szCs w:val="22"/>
        </w:rPr>
        <w:t xml:space="preserve"> sections</w:t>
      </w:r>
      <w:r w:rsidR="004132FA" w:rsidRPr="0087534D">
        <w:rPr>
          <w:sz w:val="22"/>
          <w:szCs w:val="22"/>
        </w:rPr>
        <w:t xml:space="preserve">. </w:t>
      </w:r>
      <w:r w:rsidR="0077577F" w:rsidRPr="0087534D">
        <w:rPr>
          <w:sz w:val="22"/>
          <w:szCs w:val="22"/>
        </w:rPr>
        <w:t xml:space="preserve"> </w:t>
      </w:r>
    </w:p>
    <w:p w14:paraId="072D070E" w14:textId="273D28B4" w:rsidR="000B5A4F" w:rsidRPr="000B5A4F" w:rsidRDefault="000B5A4F" w:rsidP="000B5A4F">
      <w:pPr>
        <w:spacing w:line="360" w:lineRule="auto"/>
        <w:rPr>
          <w:b/>
          <w:bCs/>
        </w:rPr>
      </w:pPr>
      <w:r>
        <w:rPr>
          <w:sz w:val="22"/>
          <w:szCs w:val="22"/>
        </w:rPr>
        <w:t xml:space="preserve">We recognise that not all of the following examples will represent a </w:t>
      </w:r>
      <w:r>
        <w:rPr>
          <w:bCs/>
          <w:sz w:val="22"/>
          <w:szCs w:val="22"/>
        </w:rPr>
        <w:t>‘Gold Standard’. However, they are</w:t>
      </w:r>
      <w:r w:rsidR="005940A1">
        <w:rPr>
          <w:bCs/>
          <w:sz w:val="22"/>
          <w:szCs w:val="22"/>
        </w:rPr>
        <w:t xml:space="preserve"> undoubtedly</w:t>
      </w:r>
      <w:r>
        <w:rPr>
          <w:bCs/>
          <w:sz w:val="22"/>
          <w:szCs w:val="22"/>
        </w:rPr>
        <w:t xml:space="preserve"> good enough to illustrate </w:t>
      </w:r>
      <w:r w:rsidR="005940A1">
        <w:rPr>
          <w:bCs/>
          <w:sz w:val="22"/>
          <w:szCs w:val="22"/>
        </w:rPr>
        <w:t xml:space="preserve">the </w:t>
      </w:r>
      <w:r>
        <w:rPr>
          <w:bCs/>
          <w:sz w:val="22"/>
          <w:szCs w:val="22"/>
        </w:rPr>
        <w:t xml:space="preserve">general approaches </w:t>
      </w:r>
      <w:r w:rsidR="000062C3">
        <w:rPr>
          <w:bCs/>
          <w:sz w:val="22"/>
          <w:szCs w:val="22"/>
        </w:rPr>
        <w:t xml:space="preserve">that </w:t>
      </w:r>
      <w:r>
        <w:rPr>
          <w:bCs/>
          <w:sz w:val="22"/>
          <w:szCs w:val="22"/>
        </w:rPr>
        <w:t xml:space="preserve">we believe will help to </w:t>
      </w:r>
      <w:r w:rsidR="005940A1">
        <w:rPr>
          <w:bCs/>
          <w:sz w:val="22"/>
          <w:szCs w:val="22"/>
        </w:rPr>
        <w:t xml:space="preserve">integrate </w:t>
      </w:r>
      <w:r>
        <w:rPr>
          <w:bCs/>
          <w:sz w:val="22"/>
          <w:szCs w:val="22"/>
        </w:rPr>
        <w:t>GRADE into C</w:t>
      </w:r>
      <w:r w:rsidRPr="001B2ADF">
        <w:rPr>
          <w:bCs/>
          <w:sz w:val="22"/>
          <w:szCs w:val="22"/>
        </w:rPr>
        <w:t>ochrane Revie</w:t>
      </w:r>
      <w:r>
        <w:rPr>
          <w:bCs/>
          <w:sz w:val="22"/>
          <w:szCs w:val="22"/>
        </w:rPr>
        <w:t>ws.</w:t>
      </w:r>
      <w:bookmarkStart w:id="0" w:name="_GoBack"/>
      <w:bookmarkEnd w:id="0"/>
    </w:p>
    <w:p w14:paraId="582CFF88" w14:textId="77777777" w:rsidR="00F328F0" w:rsidRPr="00BF64A8" w:rsidRDefault="00613A37" w:rsidP="00893AF4">
      <w:pPr>
        <w:pStyle w:val="Heading1"/>
        <w:numPr>
          <w:ilvl w:val="0"/>
          <w:numId w:val="4"/>
        </w:numPr>
        <w:spacing w:after="240"/>
        <w:ind w:left="357" w:hanging="357"/>
        <w:rPr>
          <w:rStyle w:val="Strong"/>
          <w:rFonts w:asciiTheme="minorHAnsi" w:eastAsiaTheme="minorEastAsia" w:hAnsiTheme="minorHAnsi" w:cstheme="minorBidi"/>
          <w:color w:val="auto"/>
          <w:sz w:val="20"/>
          <w:szCs w:val="20"/>
        </w:rPr>
      </w:pPr>
      <w:r>
        <w:rPr>
          <w:rStyle w:val="Strong"/>
          <w:bCs w:val="0"/>
          <w:color w:val="44546A" w:themeColor="text2"/>
          <w:u w:val="single"/>
        </w:rPr>
        <w:t xml:space="preserve">Describing </w:t>
      </w:r>
      <w:r w:rsidR="00F328F0" w:rsidRPr="00BF64A8">
        <w:rPr>
          <w:rStyle w:val="Strong"/>
          <w:bCs w:val="0"/>
          <w:color w:val="44546A" w:themeColor="text2"/>
          <w:u w:val="single"/>
        </w:rPr>
        <w:t>methods</w:t>
      </w:r>
      <w:r w:rsidR="00126D92" w:rsidRPr="00BF64A8">
        <w:rPr>
          <w:rStyle w:val="Strong"/>
          <w:bCs w:val="0"/>
          <w:color w:val="44546A" w:themeColor="text2"/>
          <w:u w:val="single"/>
        </w:rPr>
        <w:t xml:space="preserve"> for assessing quality of the evidence</w:t>
      </w:r>
    </w:p>
    <w:p w14:paraId="5153DEFE" w14:textId="039AD10C" w:rsidR="00D25B8B" w:rsidRPr="0087534D" w:rsidRDefault="00470289" w:rsidP="00D25B8B">
      <w:pPr>
        <w:spacing w:line="360" w:lineRule="auto"/>
        <w:rPr>
          <w:sz w:val="22"/>
          <w:szCs w:val="22"/>
        </w:rPr>
      </w:pPr>
      <w:r w:rsidRPr="0087534D">
        <w:rPr>
          <w:sz w:val="22"/>
          <w:szCs w:val="22"/>
        </w:rPr>
        <w:t>There</w:t>
      </w:r>
      <w:r w:rsidR="00A44E0A" w:rsidRPr="0087534D">
        <w:rPr>
          <w:sz w:val="22"/>
          <w:szCs w:val="22"/>
        </w:rPr>
        <w:t xml:space="preserve"> is often </w:t>
      </w:r>
      <w:r w:rsidR="00854A88" w:rsidRPr="0087534D">
        <w:rPr>
          <w:sz w:val="22"/>
          <w:szCs w:val="22"/>
        </w:rPr>
        <w:t xml:space="preserve">only </w:t>
      </w:r>
      <w:r w:rsidR="00A44E0A" w:rsidRPr="0087534D">
        <w:rPr>
          <w:sz w:val="22"/>
          <w:szCs w:val="22"/>
        </w:rPr>
        <w:t xml:space="preserve">limited information presented </w:t>
      </w:r>
      <w:r w:rsidRPr="0087534D">
        <w:rPr>
          <w:sz w:val="22"/>
          <w:szCs w:val="22"/>
        </w:rPr>
        <w:t xml:space="preserve">in reviews </w:t>
      </w:r>
      <w:r w:rsidR="00A44E0A" w:rsidRPr="0087534D">
        <w:rPr>
          <w:sz w:val="22"/>
          <w:szCs w:val="22"/>
        </w:rPr>
        <w:t xml:space="preserve">about </w:t>
      </w:r>
      <w:r w:rsidR="00374303">
        <w:rPr>
          <w:sz w:val="22"/>
          <w:szCs w:val="22"/>
        </w:rPr>
        <w:t>the implementation of G</w:t>
      </w:r>
      <w:r w:rsidR="00A44E0A" w:rsidRPr="0087534D">
        <w:rPr>
          <w:sz w:val="22"/>
          <w:szCs w:val="22"/>
        </w:rPr>
        <w:t>RADE</w:t>
      </w:r>
      <w:r w:rsidR="00DC38C7" w:rsidRPr="0087534D">
        <w:rPr>
          <w:sz w:val="22"/>
          <w:szCs w:val="22"/>
        </w:rPr>
        <w:t>.</w:t>
      </w:r>
      <w:r w:rsidRPr="0087534D">
        <w:rPr>
          <w:sz w:val="22"/>
          <w:szCs w:val="22"/>
        </w:rPr>
        <w:t xml:space="preserve"> Given th</w:t>
      </w:r>
      <w:r w:rsidR="00374303">
        <w:rPr>
          <w:sz w:val="22"/>
          <w:szCs w:val="22"/>
        </w:rPr>
        <w:t>at GRADE is a method</w:t>
      </w:r>
      <w:r w:rsidR="000E0FE0">
        <w:rPr>
          <w:sz w:val="22"/>
          <w:szCs w:val="22"/>
        </w:rPr>
        <w:t>,</w:t>
      </w:r>
      <w:r w:rsidR="00374303">
        <w:rPr>
          <w:sz w:val="22"/>
          <w:szCs w:val="22"/>
        </w:rPr>
        <w:t xml:space="preserve"> it should be </w:t>
      </w:r>
      <w:r w:rsidR="00854A88" w:rsidRPr="0087534D">
        <w:rPr>
          <w:sz w:val="22"/>
          <w:szCs w:val="22"/>
        </w:rPr>
        <w:t>a</w:t>
      </w:r>
      <w:r w:rsidRPr="0087534D">
        <w:rPr>
          <w:sz w:val="22"/>
          <w:szCs w:val="22"/>
        </w:rPr>
        <w:t>cknowledge</w:t>
      </w:r>
      <w:r w:rsidR="00374303">
        <w:rPr>
          <w:sz w:val="22"/>
          <w:szCs w:val="22"/>
        </w:rPr>
        <w:t xml:space="preserve">d as such </w:t>
      </w:r>
      <w:r w:rsidRPr="0087534D">
        <w:rPr>
          <w:sz w:val="22"/>
          <w:szCs w:val="22"/>
        </w:rPr>
        <w:t>under ‘</w:t>
      </w:r>
      <w:r w:rsidRPr="0087534D">
        <w:rPr>
          <w:i/>
          <w:sz w:val="22"/>
          <w:szCs w:val="22"/>
        </w:rPr>
        <w:t>Data collection &amp; analysis</w:t>
      </w:r>
      <w:r w:rsidRPr="0087534D">
        <w:rPr>
          <w:sz w:val="22"/>
          <w:szCs w:val="22"/>
        </w:rPr>
        <w:t>’</w:t>
      </w:r>
      <w:r w:rsidR="004D6480" w:rsidRPr="0087534D">
        <w:rPr>
          <w:sz w:val="22"/>
          <w:szCs w:val="22"/>
        </w:rPr>
        <w:t xml:space="preserve">. </w:t>
      </w:r>
      <w:r w:rsidR="002A19CE" w:rsidRPr="002A19CE">
        <w:rPr>
          <w:sz w:val="22"/>
          <w:szCs w:val="22"/>
        </w:rPr>
        <w:t xml:space="preserve">Methods for rating the quality of evidence should be </w:t>
      </w:r>
      <w:r w:rsidR="00A0529A">
        <w:rPr>
          <w:sz w:val="22"/>
          <w:szCs w:val="22"/>
        </w:rPr>
        <w:t>considered a</w:t>
      </w:r>
      <w:r w:rsidR="002A19CE" w:rsidRPr="002A19CE">
        <w:rPr>
          <w:sz w:val="22"/>
          <w:szCs w:val="22"/>
        </w:rPr>
        <w:t>s early as possible in the review process, ideally at the protocol stage. However, even if GRADE has been adopted post-protocol it is useful to know how this method has been applied to r</w:t>
      </w:r>
      <w:r w:rsidR="002A19CE">
        <w:rPr>
          <w:sz w:val="22"/>
          <w:szCs w:val="22"/>
        </w:rPr>
        <w:t xml:space="preserve">ate the quality of evidence.  </w:t>
      </w:r>
      <w:r w:rsidR="00002FA4">
        <w:rPr>
          <w:sz w:val="22"/>
          <w:szCs w:val="22"/>
        </w:rPr>
        <w:t xml:space="preserve">The following examples present information relevant to the implementation of GRADE methods and the selection </w:t>
      </w:r>
      <w:r w:rsidR="00064E2A">
        <w:rPr>
          <w:sz w:val="22"/>
          <w:szCs w:val="22"/>
        </w:rPr>
        <w:lastRenderedPageBreak/>
        <w:t xml:space="preserve">of outcomes that are used in a </w:t>
      </w:r>
      <w:r w:rsidR="00002FA4">
        <w:rPr>
          <w:sz w:val="22"/>
          <w:szCs w:val="22"/>
        </w:rPr>
        <w:t>S</w:t>
      </w:r>
      <w:r w:rsidR="00234843">
        <w:rPr>
          <w:sz w:val="22"/>
          <w:szCs w:val="22"/>
        </w:rPr>
        <w:t>ummary of Findings table (although n</w:t>
      </w:r>
      <w:r w:rsidR="00234843">
        <w:rPr>
          <w:sz w:val="22"/>
          <w:szCs w:val="22"/>
        </w:rPr>
        <w:t>ote that The Cochrane Handbook recommends that</w:t>
      </w:r>
      <w:r w:rsidR="00064E2A">
        <w:rPr>
          <w:sz w:val="22"/>
          <w:szCs w:val="22"/>
        </w:rPr>
        <w:t xml:space="preserve"> the main</w:t>
      </w:r>
      <w:r w:rsidR="00234843">
        <w:rPr>
          <w:sz w:val="22"/>
          <w:szCs w:val="22"/>
        </w:rPr>
        <w:t xml:space="preserve"> outcomes </w:t>
      </w:r>
      <w:r w:rsidR="00064E2A">
        <w:rPr>
          <w:sz w:val="22"/>
          <w:szCs w:val="22"/>
        </w:rPr>
        <w:t>f</w:t>
      </w:r>
      <w:r w:rsidR="00234843">
        <w:rPr>
          <w:sz w:val="22"/>
          <w:szCs w:val="22"/>
        </w:rPr>
        <w:t xml:space="preserve">or Summary of Findings table should </w:t>
      </w:r>
      <w:r w:rsidR="00064E2A">
        <w:rPr>
          <w:sz w:val="22"/>
          <w:szCs w:val="22"/>
        </w:rPr>
        <w:t xml:space="preserve">generally </w:t>
      </w:r>
      <w:r w:rsidR="00234843">
        <w:rPr>
          <w:sz w:val="22"/>
          <w:szCs w:val="22"/>
        </w:rPr>
        <w:t>be included under Types of outcome measures</w:t>
      </w:r>
      <w:r w:rsidR="00064E2A">
        <w:rPr>
          <w:sz w:val="22"/>
          <w:szCs w:val="22"/>
        </w:rPr>
        <w:t>)</w:t>
      </w:r>
      <w:r w:rsidR="00234843">
        <w:rPr>
          <w:sz w:val="22"/>
          <w:szCs w:val="22"/>
        </w:rPr>
        <w:t xml:space="preserve">. </w:t>
      </w:r>
    </w:p>
    <w:p w14:paraId="199EA745" w14:textId="3717C61C" w:rsidR="00F328F0" w:rsidRPr="00B73B11" w:rsidRDefault="00126D92" w:rsidP="00786712">
      <w:pPr>
        <w:pStyle w:val="Heading2"/>
        <w:spacing w:after="120"/>
        <w:rPr>
          <w:b/>
          <w:i/>
          <w:color w:val="auto"/>
        </w:rPr>
      </w:pPr>
      <w:r w:rsidRPr="00B73B11">
        <w:rPr>
          <w:b/>
          <w:i/>
          <w:color w:val="auto"/>
        </w:rPr>
        <w:t>Good practice example</w:t>
      </w:r>
      <w:r w:rsidR="00205617">
        <w:rPr>
          <w:b/>
          <w:i/>
          <w:color w:val="auto"/>
        </w:rPr>
        <w:t>s</w:t>
      </w:r>
    </w:p>
    <w:p w14:paraId="2D24A1CB" w14:textId="77777777" w:rsidR="00205617" w:rsidRDefault="00205617" w:rsidP="00C75436">
      <w:pPr>
        <w:spacing w:after="0"/>
        <w:rPr>
          <w:sz w:val="22"/>
          <w:szCs w:val="22"/>
        </w:rPr>
      </w:pPr>
    </w:p>
    <w:p w14:paraId="00B05211" w14:textId="77777777" w:rsidR="00205617" w:rsidRPr="00C75436" w:rsidRDefault="00205617" w:rsidP="00205617">
      <w:pPr>
        <w:spacing w:line="240" w:lineRule="auto"/>
        <w:ind w:left="720"/>
        <w:rPr>
          <w:i/>
          <w:sz w:val="22"/>
          <w:szCs w:val="22"/>
        </w:rPr>
      </w:pPr>
      <w:r>
        <w:rPr>
          <w:i/>
          <w:sz w:val="22"/>
          <w:szCs w:val="22"/>
        </w:rPr>
        <w:t>‘</w:t>
      </w:r>
      <w:r w:rsidRPr="00C75436">
        <w:rPr>
          <w:i/>
          <w:sz w:val="22"/>
          <w:szCs w:val="22"/>
        </w:rPr>
        <w:t>For assessments of the overall quality of evidence for each outcome that included pooled data from RCTs only, we downgraded the evidence from 'high quality' by one level for serious (or by two for very serious) study limitations (risk of bias), indirectness of evidence, serious inconsistency, imprecision of effect estimates or potential publication bias. Data from observational</w:t>
      </w:r>
      <w:r>
        <w:rPr>
          <w:i/>
          <w:sz w:val="22"/>
          <w:szCs w:val="22"/>
        </w:rPr>
        <w:t xml:space="preserve"> studies started at low quality</w:t>
      </w:r>
      <w:r w:rsidRPr="00C75436">
        <w:rPr>
          <w:i/>
          <w:sz w:val="22"/>
          <w:szCs w:val="22"/>
        </w:rPr>
        <w:t>.</w:t>
      </w:r>
      <w:r>
        <w:rPr>
          <w:i/>
          <w:sz w:val="22"/>
          <w:szCs w:val="22"/>
        </w:rPr>
        <w:t>’</w:t>
      </w:r>
    </w:p>
    <w:p w14:paraId="653B2AE6" w14:textId="007116C1" w:rsidR="00C75436" w:rsidRPr="00C75436" w:rsidRDefault="00C75436" w:rsidP="00C75436">
      <w:pPr>
        <w:spacing w:after="0"/>
        <w:rPr>
          <w:sz w:val="22"/>
          <w:szCs w:val="22"/>
        </w:rPr>
      </w:pPr>
      <w:r w:rsidRPr="00C75436">
        <w:rPr>
          <w:sz w:val="22"/>
          <w:szCs w:val="22"/>
        </w:rPr>
        <w:t xml:space="preserve">van </w:t>
      </w:r>
      <w:proofErr w:type="spellStart"/>
      <w:r w:rsidRPr="00C75436">
        <w:rPr>
          <w:sz w:val="22"/>
          <w:szCs w:val="22"/>
        </w:rPr>
        <w:t>Ginneken</w:t>
      </w:r>
      <w:proofErr w:type="spellEnd"/>
      <w:r w:rsidRPr="00C75436">
        <w:rPr>
          <w:sz w:val="22"/>
          <w:szCs w:val="22"/>
        </w:rPr>
        <w:t xml:space="preserve"> N, </w:t>
      </w:r>
      <w:proofErr w:type="spellStart"/>
      <w:r w:rsidRPr="00C75436">
        <w:rPr>
          <w:sz w:val="22"/>
          <w:szCs w:val="22"/>
        </w:rPr>
        <w:t>Tharyan</w:t>
      </w:r>
      <w:proofErr w:type="spellEnd"/>
      <w:r w:rsidRPr="00C75436">
        <w:rPr>
          <w:sz w:val="22"/>
          <w:szCs w:val="22"/>
        </w:rPr>
        <w:t xml:space="preserve"> P, </w:t>
      </w:r>
      <w:proofErr w:type="spellStart"/>
      <w:r w:rsidRPr="00C75436">
        <w:rPr>
          <w:sz w:val="22"/>
          <w:szCs w:val="22"/>
        </w:rPr>
        <w:t>Lewin</w:t>
      </w:r>
      <w:proofErr w:type="spellEnd"/>
      <w:r w:rsidRPr="00C75436">
        <w:rPr>
          <w:sz w:val="22"/>
          <w:szCs w:val="22"/>
        </w:rPr>
        <w:t xml:space="preserve"> S, Rao GN, </w:t>
      </w:r>
      <w:proofErr w:type="spellStart"/>
      <w:r w:rsidRPr="00C75436">
        <w:rPr>
          <w:sz w:val="22"/>
          <w:szCs w:val="22"/>
        </w:rPr>
        <w:t>Meera</w:t>
      </w:r>
      <w:proofErr w:type="spellEnd"/>
      <w:r w:rsidRPr="00C75436">
        <w:rPr>
          <w:sz w:val="22"/>
          <w:szCs w:val="22"/>
        </w:rPr>
        <w:t xml:space="preserve"> SM, </w:t>
      </w:r>
      <w:proofErr w:type="spellStart"/>
      <w:r w:rsidRPr="00C75436">
        <w:rPr>
          <w:sz w:val="22"/>
          <w:szCs w:val="22"/>
        </w:rPr>
        <w:t>Pian</w:t>
      </w:r>
      <w:proofErr w:type="spellEnd"/>
      <w:r w:rsidRPr="00C75436">
        <w:rPr>
          <w:sz w:val="22"/>
          <w:szCs w:val="22"/>
        </w:rPr>
        <w:t xml:space="preserve"> J,</w:t>
      </w:r>
      <w:r w:rsidR="00205617">
        <w:rPr>
          <w:sz w:val="22"/>
          <w:szCs w:val="22"/>
        </w:rPr>
        <w:t xml:space="preserve"> et al</w:t>
      </w:r>
      <w:r w:rsidRPr="00C75436">
        <w:rPr>
          <w:sz w:val="22"/>
          <w:szCs w:val="22"/>
        </w:rPr>
        <w:t xml:space="preserve">. Non-specialist health worker interventions for the care of mental, neurological and substance-abuse disorders in low- and middle-income countries. Cochrane Database of Systematic Reviews 2013, Issue 11. </w:t>
      </w:r>
    </w:p>
    <w:p w14:paraId="36440A94" w14:textId="5890C7AA" w:rsidR="00C75436" w:rsidRDefault="00AB18C8" w:rsidP="00C75436">
      <w:pPr>
        <w:rPr>
          <w:i/>
          <w:sz w:val="22"/>
          <w:szCs w:val="22"/>
        </w:rPr>
      </w:pPr>
      <w:hyperlink r:id="rId8" w:history="1">
        <w:r w:rsidR="00C75436" w:rsidRPr="00C75436">
          <w:rPr>
            <w:rStyle w:val="Hyperlink"/>
            <w:sz w:val="22"/>
            <w:szCs w:val="22"/>
          </w:rPr>
          <w:t>http://onlinelibrary.wiley.com/doi/10.1002/14651858.CD009149.pub2/full</w:t>
        </w:r>
      </w:hyperlink>
      <w:r w:rsidR="00C75436">
        <w:rPr>
          <w:i/>
          <w:sz w:val="22"/>
          <w:szCs w:val="22"/>
        </w:rPr>
        <w:t xml:space="preserve"> </w:t>
      </w:r>
    </w:p>
    <w:p w14:paraId="05EA0044" w14:textId="77777777" w:rsidR="00C75436" w:rsidRDefault="00C75436" w:rsidP="00183DAC">
      <w:pPr>
        <w:rPr>
          <w:i/>
          <w:sz w:val="22"/>
          <w:szCs w:val="22"/>
        </w:rPr>
      </w:pPr>
    </w:p>
    <w:p w14:paraId="1FEA3A0B" w14:textId="77777777" w:rsidR="00205617" w:rsidRPr="00CD7A88" w:rsidRDefault="00205617" w:rsidP="00205617">
      <w:pPr>
        <w:spacing w:line="240" w:lineRule="auto"/>
        <w:ind w:left="720"/>
        <w:rPr>
          <w:i/>
          <w:sz w:val="22"/>
          <w:szCs w:val="22"/>
        </w:rPr>
      </w:pPr>
      <w:r w:rsidRPr="00CD7A88">
        <w:rPr>
          <w:i/>
          <w:sz w:val="22"/>
          <w:szCs w:val="22"/>
        </w:rPr>
        <w:t>‘The GRADE approach was employed to interpret findings (Langendam 2013) and the GRADE profiler (GRADEPRO) allowed us to import data from Rev</w:t>
      </w:r>
      <w:r>
        <w:rPr>
          <w:i/>
          <w:sz w:val="22"/>
          <w:szCs w:val="22"/>
        </w:rPr>
        <w:t>iew Manager 5.2 (Review Manager</w:t>
      </w:r>
      <w:r w:rsidRPr="00CD7A88">
        <w:rPr>
          <w:i/>
          <w:sz w:val="22"/>
          <w:szCs w:val="22"/>
        </w:rPr>
        <w:t>) to create 'Summary of findings' tables. These tables provide outcome-specific information concerning the overall quality of evidence from studies included in the comparison, the magnitude of effect of the interventions examined, and the sum of available data on the outcomes we considered.</w:t>
      </w:r>
    </w:p>
    <w:p w14:paraId="77C17E6D" w14:textId="77777777" w:rsidR="00205617" w:rsidRPr="00CD7A88" w:rsidRDefault="00205617" w:rsidP="00205617">
      <w:pPr>
        <w:spacing w:line="240" w:lineRule="auto"/>
        <w:ind w:left="720"/>
        <w:rPr>
          <w:i/>
          <w:sz w:val="22"/>
          <w:szCs w:val="22"/>
        </w:rPr>
      </w:pPr>
      <w:r w:rsidRPr="00CD7A88">
        <w:rPr>
          <w:i/>
          <w:sz w:val="22"/>
          <w:szCs w:val="22"/>
        </w:rPr>
        <w:t>The following outcomes were included in the 'Summary of findings' tables.</w:t>
      </w:r>
    </w:p>
    <w:p w14:paraId="551C11E9" w14:textId="77777777" w:rsidR="00205617" w:rsidRPr="00CD7A88" w:rsidRDefault="00205617" w:rsidP="00205617">
      <w:pPr>
        <w:spacing w:after="0" w:line="240" w:lineRule="auto"/>
        <w:ind w:left="720"/>
        <w:rPr>
          <w:i/>
          <w:sz w:val="22"/>
          <w:szCs w:val="22"/>
        </w:rPr>
      </w:pPr>
      <w:r w:rsidRPr="00CD7A88">
        <w:rPr>
          <w:i/>
          <w:sz w:val="22"/>
          <w:szCs w:val="22"/>
        </w:rPr>
        <w:t>Failure to respond at endpoint (six to 12 weeks).</w:t>
      </w:r>
    </w:p>
    <w:p w14:paraId="30E7EA4B" w14:textId="77777777" w:rsidR="00205617" w:rsidRPr="00CD7A88" w:rsidRDefault="00205617" w:rsidP="00205617">
      <w:pPr>
        <w:spacing w:after="0" w:line="240" w:lineRule="auto"/>
        <w:ind w:left="720"/>
        <w:rPr>
          <w:i/>
          <w:sz w:val="22"/>
          <w:szCs w:val="22"/>
        </w:rPr>
      </w:pPr>
      <w:r w:rsidRPr="00CD7A88">
        <w:rPr>
          <w:i/>
          <w:sz w:val="22"/>
          <w:szCs w:val="22"/>
        </w:rPr>
        <w:t>Failure to respond at one to four weeks.</w:t>
      </w:r>
    </w:p>
    <w:p w14:paraId="4C140022" w14:textId="77777777" w:rsidR="00205617" w:rsidRPr="00CD7A88" w:rsidRDefault="00205617" w:rsidP="00205617">
      <w:pPr>
        <w:spacing w:after="0" w:line="240" w:lineRule="auto"/>
        <w:ind w:left="720"/>
        <w:rPr>
          <w:i/>
          <w:sz w:val="22"/>
          <w:szCs w:val="22"/>
        </w:rPr>
      </w:pPr>
      <w:r w:rsidRPr="00CD7A88">
        <w:rPr>
          <w:i/>
          <w:sz w:val="22"/>
          <w:szCs w:val="22"/>
        </w:rPr>
        <w:t>Failure to respond at 16 to 24 weeks.</w:t>
      </w:r>
    </w:p>
    <w:p w14:paraId="3655FDBB" w14:textId="77777777" w:rsidR="00205617" w:rsidRPr="00CD7A88" w:rsidRDefault="00205617" w:rsidP="00205617">
      <w:pPr>
        <w:spacing w:after="0" w:line="240" w:lineRule="auto"/>
        <w:ind w:left="720"/>
        <w:rPr>
          <w:i/>
          <w:sz w:val="22"/>
          <w:szCs w:val="22"/>
        </w:rPr>
      </w:pPr>
      <w:r w:rsidRPr="00CD7A88">
        <w:rPr>
          <w:i/>
          <w:sz w:val="22"/>
          <w:szCs w:val="22"/>
        </w:rPr>
        <w:t>Failure to remit at endpoint.</w:t>
      </w:r>
    </w:p>
    <w:p w14:paraId="1BF3BF8F" w14:textId="77777777" w:rsidR="00205617" w:rsidRPr="00CD7A88" w:rsidRDefault="00205617" w:rsidP="00205617">
      <w:pPr>
        <w:spacing w:after="0" w:line="240" w:lineRule="auto"/>
        <w:ind w:left="720"/>
        <w:rPr>
          <w:i/>
          <w:sz w:val="22"/>
          <w:szCs w:val="22"/>
        </w:rPr>
      </w:pPr>
      <w:r w:rsidRPr="00CD7A88">
        <w:rPr>
          <w:i/>
          <w:sz w:val="22"/>
          <w:szCs w:val="22"/>
        </w:rPr>
        <w:t>SMD at endpoint.</w:t>
      </w:r>
    </w:p>
    <w:p w14:paraId="71089582" w14:textId="77777777" w:rsidR="00205617" w:rsidRPr="00CD7A88" w:rsidRDefault="00205617" w:rsidP="00205617">
      <w:pPr>
        <w:spacing w:after="0" w:line="240" w:lineRule="auto"/>
        <w:ind w:left="720"/>
        <w:rPr>
          <w:i/>
          <w:sz w:val="22"/>
          <w:szCs w:val="22"/>
        </w:rPr>
      </w:pPr>
      <w:r w:rsidRPr="00CD7A88">
        <w:rPr>
          <w:i/>
          <w:sz w:val="22"/>
          <w:szCs w:val="22"/>
        </w:rPr>
        <w:t>Failure to complete - any cause.</w:t>
      </w:r>
    </w:p>
    <w:p w14:paraId="715C7DC8" w14:textId="77777777" w:rsidR="00205617" w:rsidRPr="00CD7A88" w:rsidRDefault="00205617" w:rsidP="00205617">
      <w:pPr>
        <w:spacing w:line="240" w:lineRule="auto"/>
        <w:ind w:left="720"/>
        <w:rPr>
          <w:i/>
          <w:sz w:val="22"/>
          <w:szCs w:val="22"/>
        </w:rPr>
      </w:pPr>
      <w:r w:rsidRPr="00CD7A88">
        <w:rPr>
          <w:i/>
          <w:sz w:val="22"/>
          <w:szCs w:val="22"/>
        </w:rPr>
        <w:t>Participants with at least some SE.</w:t>
      </w:r>
      <w:r>
        <w:rPr>
          <w:i/>
          <w:sz w:val="22"/>
          <w:szCs w:val="22"/>
        </w:rPr>
        <w:t>’</w:t>
      </w:r>
    </w:p>
    <w:p w14:paraId="54486BEF" w14:textId="37213884" w:rsidR="00CD7A88" w:rsidRPr="00C75436" w:rsidRDefault="009B2AEC" w:rsidP="00183DAC">
      <w:pPr>
        <w:rPr>
          <w:sz w:val="22"/>
          <w:szCs w:val="22"/>
        </w:rPr>
      </w:pPr>
      <w:proofErr w:type="spellStart"/>
      <w:r w:rsidRPr="00C75436">
        <w:rPr>
          <w:sz w:val="22"/>
          <w:szCs w:val="22"/>
        </w:rPr>
        <w:t>Purgato</w:t>
      </w:r>
      <w:proofErr w:type="spellEnd"/>
      <w:r w:rsidRPr="00C75436">
        <w:rPr>
          <w:sz w:val="22"/>
          <w:szCs w:val="22"/>
        </w:rPr>
        <w:t xml:space="preserve"> M, </w:t>
      </w:r>
      <w:proofErr w:type="spellStart"/>
      <w:r w:rsidRPr="00C75436">
        <w:rPr>
          <w:sz w:val="22"/>
          <w:szCs w:val="22"/>
        </w:rPr>
        <w:t>Papola</w:t>
      </w:r>
      <w:proofErr w:type="spellEnd"/>
      <w:r w:rsidRPr="00C75436">
        <w:rPr>
          <w:sz w:val="22"/>
          <w:szCs w:val="22"/>
        </w:rPr>
        <w:t xml:space="preserve"> D, </w:t>
      </w:r>
      <w:proofErr w:type="spellStart"/>
      <w:r w:rsidRPr="00C75436">
        <w:rPr>
          <w:sz w:val="22"/>
          <w:szCs w:val="22"/>
        </w:rPr>
        <w:t>Gastaldon</w:t>
      </w:r>
      <w:proofErr w:type="spellEnd"/>
      <w:r w:rsidRPr="00C75436">
        <w:rPr>
          <w:sz w:val="22"/>
          <w:szCs w:val="22"/>
        </w:rPr>
        <w:t xml:space="preserve"> C, </w:t>
      </w:r>
      <w:proofErr w:type="spellStart"/>
      <w:r w:rsidRPr="00C75436">
        <w:rPr>
          <w:sz w:val="22"/>
          <w:szCs w:val="22"/>
        </w:rPr>
        <w:t>Trespidi</w:t>
      </w:r>
      <w:proofErr w:type="spellEnd"/>
      <w:r w:rsidRPr="00C75436">
        <w:rPr>
          <w:sz w:val="22"/>
          <w:szCs w:val="22"/>
        </w:rPr>
        <w:t xml:space="preserve"> C, </w:t>
      </w:r>
      <w:proofErr w:type="spellStart"/>
      <w:r w:rsidRPr="00C75436">
        <w:rPr>
          <w:sz w:val="22"/>
          <w:szCs w:val="22"/>
        </w:rPr>
        <w:t>Magni</w:t>
      </w:r>
      <w:proofErr w:type="spellEnd"/>
      <w:r w:rsidRPr="00C75436">
        <w:rPr>
          <w:sz w:val="22"/>
          <w:szCs w:val="22"/>
        </w:rPr>
        <w:t xml:space="preserve"> LR, Rizzo C, </w:t>
      </w:r>
      <w:r w:rsidR="00205617">
        <w:rPr>
          <w:sz w:val="22"/>
          <w:szCs w:val="22"/>
        </w:rPr>
        <w:t>et al</w:t>
      </w:r>
      <w:r w:rsidRPr="00C75436">
        <w:rPr>
          <w:sz w:val="22"/>
          <w:szCs w:val="22"/>
        </w:rPr>
        <w:t>. Paroxetine versus other anti-depressive agents for depression. Cochrane Database of Systematic Reviews 2014, Issue 4. Art. No.: CD006531. DOI: 10.1002/14651858.CD006531.pub2.</w:t>
      </w:r>
      <w:r w:rsidR="00CD7A88" w:rsidRPr="00C75436">
        <w:rPr>
          <w:sz w:val="22"/>
          <w:szCs w:val="22"/>
        </w:rPr>
        <w:t xml:space="preserve"> </w:t>
      </w:r>
      <w:hyperlink r:id="rId9" w:history="1">
        <w:r w:rsidR="00CD7A88" w:rsidRPr="00C75436">
          <w:rPr>
            <w:rStyle w:val="Hyperlink"/>
            <w:sz w:val="22"/>
            <w:szCs w:val="22"/>
          </w:rPr>
          <w:t>http://onlinelibrary.wiley.com/doi/10.1002/14651858.CD006531.pub2/full</w:t>
        </w:r>
      </w:hyperlink>
      <w:r w:rsidR="00CD7A88" w:rsidRPr="00C75436">
        <w:rPr>
          <w:sz w:val="22"/>
          <w:szCs w:val="22"/>
        </w:rPr>
        <w:t xml:space="preserve"> </w:t>
      </w:r>
    </w:p>
    <w:p w14:paraId="17AE41BA" w14:textId="77777777" w:rsidR="007D2953" w:rsidRPr="008D5360" w:rsidRDefault="007D2953" w:rsidP="00E9391C">
      <w:pPr>
        <w:spacing w:after="0" w:line="360" w:lineRule="auto"/>
        <w:rPr>
          <w:rFonts w:asciiTheme="majorHAnsi" w:eastAsiaTheme="majorEastAsia" w:hAnsiTheme="majorHAnsi" w:cstheme="majorBidi"/>
          <w:b/>
          <w:color w:val="44546A" w:themeColor="text2"/>
          <w:sz w:val="24"/>
          <w:szCs w:val="24"/>
          <w:u w:val="single"/>
        </w:rPr>
      </w:pPr>
    </w:p>
    <w:p w14:paraId="131C3B37" w14:textId="6F740202" w:rsidR="00126D92" w:rsidRPr="00BF64A8" w:rsidRDefault="00126D92" w:rsidP="00893AF4">
      <w:pPr>
        <w:pStyle w:val="ListParagraph"/>
        <w:numPr>
          <w:ilvl w:val="0"/>
          <w:numId w:val="4"/>
        </w:numPr>
        <w:spacing w:after="240" w:line="360" w:lineRule="auto"/>
        <w:ind w:left="357" w:hanging="357"/>
        <w:rPr>
          <w:rFonts w:asciiTheme="majorHAnsi" w:eastAsiaTheme="majorEastAsia" w:hAnsiTheme="majorHAnsi" w:cstheme="majorBidi"/>
          <w:b/>
          <w:color w:val="44546A" w:themeColor="text2"/>
          <w:sz w:val="32"/>
          <w:szCs w:val="32"/>
          <w:u w:val="single"/>
        </w:rPr>
      </w:pPr>
      <w:r w:rsidRPr="00BF64A8">
        <w:rPr>
          <w:rFonts w:asciiTheme="majorHAnsi" w:eastAsiaTheme="majorEastAsia" w:hAnsiTheme="majorHAnsi" w:cstheme="majorBidi"/>
          <w:b/>
          <w:color w:val="44546A" w:themeColor="text2"/>
          <w:sz w:val="32"/>
          <w:szCs w:val="32"/>
          <w:u w:val="single"/>
        </w:rPr>
        <w:t>Explaining decisions</w:t>
      </w:r>
      <w:r w:rsidR="00040138">
        <w:rPr>
          <w:rFonts w:asciiTheme="majorHAnsi" w:eastAsiaTheme="majorEastAsia" w:hAnsiTheme="majorHAnsi" w:cstheme="majorBidi"/>
          <w:b/>
          <w:color w:val="44546A" w:themeColor="text2"/>
          <w:sz w:val="32"/>
          <w:szCs w:val="32"/>
          <w:u w:val="single"/>
        </w:rPr>
        <w:t xml:space="preserve"> about the quality of the evidence</w:t>
      </w:r>
      <w:r w:rsidRPr="00BF64A8">
        <w:rPr>
          <w:rFonts w:asciiTheme="majorHAnsi" w:eastAsiaTheme="majorEastAsia" w:hAnsiTheme="majorHAnsi" w:cstheme="majorBidi"/>
          <w:b/>
          <w:color w:val="44546A" w:themeColor="text2"/>
          <w:sz w:val="32"/>
          <w:szCs w:val="32"/>
          <w:u w:val="single"/>
        </w:rPr>
        <w:t xml:space="preserve"> </w:t>
      </w:r>
      <w:r w:rsidR="00893AF4">
        <w:rPr>
          <w:rFonts w:asciiTheme="majorHAnsi" w:eastAsiaTheme="majorEastAsia" w:hAnsiTheme="majorHAnsi" w:cstheme="majorBidi"/>
          <w:b/>
          <w:color w:val="44546A" w:themeColor="text2"/>
          <w:sz w:val="32"/>
          <w:szCs w:val="32"/>
          <w:u w:val="single"/>
        </w:rPr>
        <w:t xml:space="preserve">in reporting </w:t>
      </w:r>
      <w:r w:rsidR="004D6480">
        <w:rPr>
          <w:rFonts w:asciiTheme="majorHAnsi" w:eastAsiaTheme="majorEastAsia" w:hAnsiTheme="majorHAnsi" w:cstheme="majorBidi"/>
          <w:b/>
          <w:color w:val="44546A" w:themeColor="text2"/>
          <w:sz w:val="32"/>
          <w:szCs w:val="32"/>
          <w:u w:val="single"/>
        </w:rPr>
        <w:t>results</w:t>
      </w:r>
    </w:p>
    <w:p w14:paraId="3D185AC3" w14:textId="75379609" w:rsidR="001953A4" w:rsidRDefault="004954AD" w:rsidP="00DC38C7">
      <w:pPr>
        <w:spacing w:line="360" w:lineRule="auto"/>
        <w:rPr>
          <w:sz w:val="22"/>
          <w:szCs w:val="22"/>
        </w:rPr>
      </w:pPr>
      <w:r>
        <w:rPr>
          <w:sz w:val="22"/>
          <w:szCs w:val="22"/>
        </w:rPr>
        <w:t xml:space="preserve">Having </w:t>
      </w:r>
      <w:r w:rsidR="002A19CE">
        <w:rPr>
          <w:sz w:val="22"/>
          <w:szCs w:val="22"/>
        </w:rPr>
        <w:t>implemented GRADE</w:t>
      </w:r>
      <w:r>
        <w:rPr>
          <w:sz w:val="22"/>
          <w:szCs w:val="22"/>
        </w:rPr>
        <w:t xml:space="preserve">, authors </w:t>
      </w:r>
      <w:r w:rsidR="002A19CE">
        <w:rPr>
          <w:sz w:val="22"/>
          <w:szCs w:val="22"/>
        </w:rPr>
        <w:t xml:space="preserve">will need to consider where to </w:t>
      </w:r>
      <w:r w:rsidR="00444241">
        <w:rPr>
          <w:sz w:val="22"/>
          <w:szCs w:val="22"/>
        </w:rPr>
        <w:t xml:space="preserve">describe </w:t>
      </w:r>
      <w:r w:rsidR="002A19CE">
        <w:rPr>
          <w:sz w:val="22"/>
          <w:szCs w:val="22"/>
        </w:rPr>
        <w:t>the</w:t>
      </w:r>
      <w:r w:rsidR="00444241">
        <w:rPr>
          <w:sz w:val="22"/>
          <w:szCs w:val="22"/>
        </w:rPr>
        <w:t>ir</w:t>
      </w:r>
      <w:r w:rsidR="002A19CE">
        <w:rPr>
          <w:sz w:val="22"/>
          <w:szCs w:val="22"/>
        </w:rPr>
        <w:t xml:space="preserve"> decisions </w:t>
      </w:r>
      <w:r w:rsidR="00893AF4">
        <w:rPr>
          <w:sz w:val="22"/>
          <w:szCs w:val="22"/>
        </w:rPr>
        <w:t xml:space="preserve">for rating </w:t>
      </w:r>
      <w:r w:rsidR="002A19CE">
        <w:rPr>
          <w:sz w:val="22"/>
          <w:szCs w:val="22"/>
        </w:rPr>
        <w:t>the quality of evidence. The</w:t>
      </w:r>
      <w:r w:rsidR="00444241">
        <w:rPr>
          <w:sz w:val="22"/>
          <w:szCs w:val="22"/>
        </w:rPr>
        <w:t>y should look to integrate this information whe</w:t>
      </w:r>
      <w:r w:rsidR="00D72E1D">
        <w:rPr>
          <w:sz w:val="22"/>
          <w:szCs w:val="22"/>
        </w:rPr>
        <w:t xml:space="preserve">n </w:t>
      </w:r>
      <w:r w:rsidR="00444241">
        <w:rPr>
          <w:sz w:val="22"/>
          <w:szCs w:val="22"/>
        </w:rPr>
        <w:t>present</w:t>
      </w:r>
      <w:r w:rsidR="00D72E1D">
        <w:rPr>
          <w:sz w:val="22"/>
          <w:szCs w:val="22"/>
        </w:rPr>
        <w:t>ing</w:t>
      </w:r>
      <w:r w:rsidR="00637227">
        <w:rPr>
          <w:sz w:val="22"/>
          <w:szCs w:val="22"/>
        </w:rPr>
        <w:t xml:space="preserve"> </w:t>
      </w:r>
      <w:r w:rsidR="00637227">
        <w:rPr>
          <w:sz w:val="22"/>
          <w:szCs w:val="22"/>
        </w:rPr>
        <w:lastRenderedPageBreak/>
        <w:t>results</w:t>
      </w:r>
      <w:r>
        <w:rPr>
          <w:sz w:val="22"/>
          <w:szCs w:val="22"/>
        </w:rPr>
        <w:t xml:space="preserve">. </w:t>
      </w:r>
      <w:r w:rsidR="00637227">
        <w:rPr>
          <w:sz w:val="22"/>
          <w:szCs w:val="22"/>
        </w:rPr>
        <w:t xml:space="preserve">One approach is to </w:t>
      </w:r>
      <w:r w:rsidR="001717AA" w:rsidRPr="0087534D">
        <w:rPr>
          <w:sz w:val="22"/>
          <w:szCs w:val="22"/>
        </w:rPr>
        <w:t>include</w:t>
      </w:r>
      <w:r w:rsidR="00470289" w:rsidRPr="0087534D">
        <w:rPr>
          <w:sz w:val="22"/>
          <w:szCs w:val="22"/>
        </w:rPr>
        <w:t xml:space="preserve"> </w:t>
      </w:r>
      <w:r w:rsidR="00637227">
        <w:rPr>
          <w:sz w:val="22"/>
          <w:szCs w:val="22"/>
        </w:rPr>
        <w:t xml:space="preserve">the </w:t>
      </w:r>
      <w:r w:rsidR="00182A01" w:rsidRPr="0087534D">
        <w:rPr>
          <w:sz w:val="22"/>
          <w:szCs w:val="22"/>
        </w:rPr>
        <w:t>quality rating</w:t>
      </w:r>
      <w:r w:rsidR="00637227">
        <w:rPr>
          <w:sz w:val="22"/>
          <w:szCs w:val="22"/>
        </w:rPr>
        <w:t xml:space="preserve"> with the </w:t>
      </w:r>
      <w:r w:rsidR="00182A01" w:rsidRPr="0087534D">
        <w:rPr>
          <w:sz w:val="22"/>
          <w:szCs w:val="22"/>
        </w:rPr>
        <w:t>outcome</w:t>
      </w:r>
      <w:r w:rsidR="00637227">
        <w:rPr>
          <w:sz w:val="22"/>
          <w:szCs w:val="22"/>
        </w:rPr>
        <w:t xml:space="preserve"> result</w:t>
      </w:r>
      <w:r w:rsidR="00040138" w:rsidRPr="0087534D">
        <w:rPr>
          <w:sz w:val="22"/>
          <w:szCs w:val="22"/>
        </w:rPr>
        <w:t>s</w:t>
      </w:r>
      <w:r w:rsidR="00182A01" w:rsidRPr="0087534D">
        <w:rPr>
          <w:sz w:val="22"/>
          <w:szCs w:val="22"/>
        </w:rPr>
        <w:t xml:space="preserve"> </w:t>
      </w:r>
      <w:r w:rsidR="007D2953" w:rsidRPr="0087534D">
        <w:rPr>
          <w:sz w:val="22"/>
          <w:szCs w:val="22"/>
        </w:rPr>
        <w:t>under ‘Effects of interventions’</w:t>
      </w:r>
      <w:r w:rsidR="004D6480" w:rsidRPr="0087534D">
        <w:rPr>
          <w:sz w:val="22"/>
          <w:szCs w:val="22"/>
        </w:rPr>
        <w:t xml:space="preserve">. </w:t>
      </w:r>
    </w:p>
    <w:p w14:paraId="6A5EC401" w14:textId="77777777" w:rsidR="00BC5A25" w:rsidRPr="0087534D" w:rsidRDefault="0087534D" w:rsidP="00786712">
      <w:pPr>
        <w:pStyle w:val="Heading2"/>
        <w:spacing w:after="120"/>
        <w:rPr>
          <w:b/>
          <w:i/>
          <w:color w:val="auto"/>
        </w:rPr>
      </w:pPr>
      <w:r>
        <w:rPr>
          <w:b/>
          <w:i/>
          <w:color w:val="auto"/>
        </w:rPr>
        <w:t>Good practice example</w:t>
      </w:r>
    </w:p>
    <w:p w14:paraId="196A312D" w14:textId="65DA0C99" w:rsidR="00330F42" w:rsidRPr="0087534D" w:rsidRDefault="00205617" w:rsidP="00D72E1D">
      <w:pPr>
        <w:spacing w:after="0" w:line="240" w:lineRule="auto"/>
        <w:ind w:left="720"/>
        <w:rPr>
          <w:b/>
          <w:i/>
          <w:sz w:val="22"/>
          <w:szCs w:val="22"/>
        </w:rPr>
      </w:pPr>
      <w:r w:rsidRPr="0087534D">
        <w:rPr>
          <w:i/>
          <w:sz w:val="22"/>
          <w:szCs w:val="22"/>
        </w:rPr>
        <w:t xml:space="preserve"> </w:t>
      </w:r>
      <w:r w:rsidR="00182A01" w:rsidRPr="0087534D">
        <w:rPr>
          <w:i/>
          <w:sz w:val="22"/>
          <w:szCs w:val="22"/>
        </w:rPr>
        <w:t>‘</w:t>
      </w:r>
      <w:r w:rsidR="00330F42" w:rsidRPr="0087534D">
        <w:rPr>
          <w:b/>
          <w:i/>
          <w:sz w:val="22"/>
          <w:szCs w:val="22"/>
        </w:rPr>
        <w:t>Health-related quality of life</w:t>
      </w:r>
    </w:p>
    <w:p w14:paraId="19ED506F" w14:textId="77777777" w:rsidR="00330F42" w:rsidRPr="0087534D" w:rsidRDefault="00330F42" w:rsidP="00205617">
      <w:pPr>
        <w:spacing w:line="240" w:lineRule="auto"/>
        <w:ind w:left="720"/>
        <w:rPr>
          <w:i/>
          <w:sz w:val="22"/>
          <w:szCs w:val="22"/>
        </w:rPr>
      </w:pPr>
      <w:r w:rsidRPr="0087534D">
        <w:rPr>
          <w:i/>
          <w:sz w:val="22"/>
          <w:szCs w:val="22"/>
        </w:rPr>
        <w:t>Improvement on the St George’s Respiratory Questionnaire (SGRQ) was greater with LABA therapy than with placebo (MD -2.32, 95% CI -3.09 to -1.54; I2 = 50%, P = 0.007; Analysis 1.1), based on data from</w:t>
      </w:r>
      <w:r w:rsidR="00703B52">
        <w:rPr>
          <w:i/>
          <w:sz w:val="22"/>
          <w:szCs w:val="22"/>
        </w:rPr>
        <w:t xml:space="preserve"> </w:t>
      </w:r>
      <w:r w:rsidRPr="0087534D">
        <w:rPr>
          <w:i/>
          <w:sz w:val="22"/>
          <w:szCs w:val="22"/>
        </w:rPr>
        <w:t>11</w:t>
      </w:r>
      <w:r w:rsidR="00854A88" w:rsidRPr="0087534D">
        <w:rPr>
          <w:i/>
          <w:sz w:val="22"/>
          <w:szCs w:val="22"/>
        </w:rPr>
        <w:t>,397</w:t>
      </w:r>
      <w:r w:rsidRPr="0087534D">
        <w:rPr>
          <w:i/>
          <w:sz w:val="22"/>
          <w:szCs w:val="22"/>
        </w:rPr>
        <w:t xml:space="preserve"> people in 17 studies. Results were analysed using a random-effects model because heterogeneity was high, and the outcome was downgraded from high to moderate quality for this reason.</w:t>
      </w:r>
      <w:r w:rsidR="00182A01" w:rsidRPr="0087534D">
        <w:rPr>
          <w:i/>
          <w:sz w:val="22"/>
          <w:szCs w:val="22"/>
        </w:rPr>
        <w:t>’</w:t>
      </w:r>
    </w:p>
    <w:p w14:paraId="2E98CDB1" w14:textId="77777777" w:rsidR="00205617" w:rsidRPr="0087534D" w:rsidRDefault="00205617" w:rsidP="00205617">
      <w:pPr>
        <w:rPr>
          <w:color w:val="0070C0"/>
          <w:sz w:val="22"/>
          <w:szCs w:val="22"/>
        </w:rPr>
      </w:pPr>
      <w:r w:rsidRPr="00C75436">
        <w:rPr>
          <w:sz w:val="22"/>
          <w:szCs w:val="22"/>
        </w:rPr>
        <w:t>Kew KM, Mavergames C, Walters JAE. Long-acting beta</w:t>
      </w:r>
      <w:r w:rsidRPr="00C75436">
        <w:rPr>
          <w:sz w:val="22"/>
          <w:szCs w:val="22"/>
          <w:vertAlign w:val="subscript"/>
        </w:rPr>
        <w:t>2</w:t>
      </w:r>
      <w:r w:rsidRPr="00C75436">
        <w:rPr>
          <w:sz w:val="22"/>
          <w:szCs w:val="22"/>
        </w:rPr>
        <w:t xml:space="preserve">-agonists for chronic obstructive pulmonary disease. Cochrane Database of Systematic Reviews 2013, Issue 10. Art. No.: CD010177. DOI: 10.1002/14651858.CD010177.pub2. </w:t>
      </w:r>
      <w:hyperlink r:id="rId10" w:history="1">
        <w:r w:rsidRPr="0087534D">
          <w:rPr>
            <w:rStyle w:val="Hyperlink"/>
            <w:color w:val="0070C0"/>
            <w:sz w:val="22"/>
            <w:szCs w:val="22"/>
          </w:rPr>
          <w:t>http://onlinelibrary.wiley.com/doi/10.1002/14651858.CD010177.pub2/full</w:t>
        </w:r>
      </w:hyperlink>
      <w:r w:rsidRPr="0087534D">
        <w:rPr>
          <w:color w:val="0070C0"/>
          <w:sz w:val="22"/>
          <w:szCs w:val="22"/>
        </w:rPr>
        <w:t xml:space="preserve"> </w:t>
      </w:r>
    </w:p>
    <w:p w14:paraId="79222956" w14:textId="77777777" w:rsidR="00205617" w:rsidRDefault="00205617" w:rsidP="00CB0341">
      <w:pPr>
        <w:spacing w:line="360" w:lineRule="auto"/>
        <w:rPr>
          <w:sz w:val="22"/>
          <w:szCs w:val="22"/>
          <w:lang w:val="en-AU"/>
        </w:rPr>
      </w:pPr>
    </w:p>
    <w:p w14:paraId="4AF57F37" w14:textId="36551D4C" w:rsidR="00435A4B" w:rsidRDefault="004360E8" w:rsidP="00CB0341">
      <w:pPr>
        <w:spacing w:line="360" w:lineRule="auto"/>
        <w:rPr>
          <w:sz w:val="22"/>
          <w:szCs w:val="22"/>
        </w:rPr>
      </w:pPr>
      <w:r w:rsidRPr="004360E8">
        <w:rPr>
          <w:sz w:val="22"/>
          <w:szCs w:val="22"/>
          <w:lang w:val="en-AU"/>
        </w:rPr>
        <w:t>In addition to descriptive text in the ‘Effects of intervention’ sec</w:t>
      </w:r>
      <w:r w:rsidR="008624B2">
        <w:rPr>
          <w:sz w:val="22"/>
          <w:szCs w:val="22"/>
          <w:lang w:val="en-AU"/>
        </w:rPr>
        <w:t xml:space="preserve">tion, </w:t>
      </w:r>
      <w:proofErr w:type="gramStart"/>
      <w:r w:rsidR="008624B2">
        <w:rPr>
          <w:sz w:val="22"/>
          <w:szCs w:val="22"/>
          <w:lang w:val="en-AU"/>
        </w:rPr>
        <w:t>S</w:t>
      </w:r>
      <w:r w:rsidR="00444241">
        <w:rPr>
          <w:sz w:val="22"/>
          <w:szCs w:val="22"/>
          <w:lang w:val="en-AU"/>
        </w:rPr>
        <w:t>oF</w:t>
      </w:r>
      <w:proofErr w:type="gramEnd"/>
      <w:r w:rsidR="008624B2">
        <w:rPr>
          <w:sz w:val="22"/>
          <w:szCs w:val="22"/>
          <w:lang w:val="en-AU"/>
        </w:rPr>
        <w:t xml:space="preserve"> </w:t>
      </w:r>
      <w:r w:rsidRPr="004360E8">
        <w:rPr>
          <w:sz w:val="22"/>
          <w:szCs w:val="22"/>
          <w:lang w:val="en-AU"/>
        </w:rPr>
        <w:t xml:space="preserve">tables </w:t>
      </w:r>
      <w:r w:rsidR="00444241">
        <w:rPr>
          <w:sz w:val="22"/>
          <w:szCs w:val="22"/>
          <w:lang w:val="en-AU"/>
        </w:rPr>
        <w:t xml:space="preserve">will need to </w:t>
      </w:r>
      <w:r w:rsidRPr="004360E8">
        <w:rPr>
          <w:sz w:val="22"/>
          <w:szCs w:val="22"/>
          <w:lang w:val="en-AU"/>
        </w:rPr>
        <w:t>include footnotes to explain</w:t>
      </w:r>
      <w:r>
        <w:rPr>
          <w:sz w:val="22"/>
          <w:szCs w:val="22"/>
          <w:lang w:val="en-AU"/>
        </w:rPr>
        <w:t xml:space="preserve"> </w:t>
      </w:r>
      <w:r w:rsidR="007A468E">
        <w:rPr>
          <w:sz w:val="22"/>
          <w:szCs w:val="22"/>
        </w:rPr>
        <w:t>any decisions to downgrade the quality of the evidence</w:t>
      </w:r>
      <w:r w:rsidR="00183DAC">
        <w:rPr>
          <w:sz w:val="22"/>
          <w:szCs w:val="22"/>
        </w:rPr>
        <w:t>.</w:t>
      </w:r>
      <w:r w:rsidR="00435A4B">
        <w:rPr>
          <w:sz w:val="22"/>
          <w:szCs w:val="22"/>
        </w:rPr>
        <w:t xml:space="preserve"> When</w:t>
      </w:r>
      <w:r w:rsidR="00CB0341" w:rsidRPr="00537940">
        <w:rPr>
          <w:sz w:val="22"/>
          <w:szCs w:val="22"/>
        </w:rPr>
        <w:t xml:space="preserve"> checking footnotes it is </w:t>
      </w:r>
      <w:r w:rsidR="00F86317">
        <w:rPr>
          <w:sz w:val="22"/>
          <w:szCs w:val="22"/>
        </w:rPr>
        <w:t>worth seeing h</w:t>
      </w:r>
      <w:r w:rsidR="00CB0341" w:rsidRPr="00537940">
        <w:rPr>
          <w:sz w:val="22"/>
          <w:szCs w:val="22"/>
        </w:rPr>
        <w:t xml:space="preserve">ow easy it is to identify </w:t>
      </w:r>
      <w:r w:rsidR="007A468E">
        <w:rPr>
          <w:sz w:val="22"/>
          <w:szCs w:val="22"/>
        </w:rPr>
        <w:t>how many levels the quality of evidence has been downgraded by</w:t>
      </w:r>
      <w:r w:rsidR="005F24BE">
        <w:rPr>
          <w:sz w:val="22"/>
          <w:szCs w:val="22"/>
        </w:rPr>
        <w:t xml:space="preserve">, along with the </w:t>
      </w:r>
      <w:r w:rsidR="007A468E">
        <w:rPr>
          <w:sz w:val="22"/>
          <w:szCs w:val="22"/>
        </w:rPr>
        <w:t xml:space="preserve">considerations </w:t>
      </w:r>
      <w:r w:rsidR="005F24BE">
        <w:rPr>
          <w:sz w:val="22"/>
          <w:szCs w:val="22"/>
        </w:rPr>
        <w:t xml:space="preserve">that </w:t>
      </w:r>
      <w:r w:rsidR="007A468E">
        <w:rPr>
          <w:sz w:val="22"/>
          <w:szCs w:val="22"/>
        </w:rPr>
        <w:t xml:space="preserve">were a factor in the decision </w:t>
      </w:r>
      <w:r w:rsidR="00CB0341" w:rsidRPr="00537940">
        <w:rPr>
          <w:sz w:val="22"/>
          <w:szCs w:val="22"/>
        </w:rPr>
        <w:t>(i.e. risk of bias, imprecision, indirectness, inc</w:t>
      </w:r>
      <w:r w:rsidR="007A468E">
        <w:rPr>
          <w:sz w:val="22"/>
          <w:szCs w:val="22"/>
        </w:rPr>
        <w:t xml:space="preserve">onsistency or publication bias). </w:t>
      </w:r>
      <w:r w:rsidR="00F7101A">
        <w:rPr>
          <w:sz w:val="22"/>
          <w:szCs w:val="22"/>
        </w:rPr>
        <w:t>U</w:t>
      </w:r>
      <w:r w:rsidR="00435A4B">
        <w:rPr>
          <w:sz w:val="22"/>
          <w:szCs w:val="22"/>
        </w:rPr>
        <w:t xml:space="preserve">sers of the review </w:t>
      </w:r>
      <w:r w:rsidR="00435A4B" w:rsidRPr="00435A4B">
        <w:rPr>
          <w:sz w:val="22"/>
          <w:szCs w:val="22"/>
        </w:rPr>
        <w:t>shou</w:t>
      </w:r>
      <w:r w:rsidR="00435A4B">
        <w:rPr>
          <w:sz w:val="22"/>
          <w:szCs w:val="22"/>
        </w:rPr>
        <w:t xml:space="preserve">ld be able to see </w:t>
      </w:r>
      <w:r w:rsidR="00435A4B" w:rsidRPr="00435A4B">
        <w:rPr>
          <w:sz w:val="22"/>
          <w:szCs w:val="22"/>
        </w:rPr>
        <w:t xml:space="preserve">how the </w:t>
      </w:r>
      <w:r w:rsidR="00435A4B">
        <w:rPr>
          <w:sz w:val="22"/>
          <w:szCs w:val="22"/>
        </w:rPr>
        <w:t xml:space="preserve">authors have </w:t>
      </w:r>
      <w:r w:rsidR="008624B2">
        <w:rPr>
          <w:sz w:val="22"/>
          <w:szCs w:val="22"/>
        </w:rPr>
        <w:t xml:space="preserve">rated </w:t>
      </w:r>
      <w:r w:rsidR="00435A4B">
        <w:rPr>
          <w:sz w:val="22"/>
          <w:szCs w:val="22"/>
        </w:rPr>
        <w:t>the quality of the evidence for the outcome</w:t>
      </w:r>
      <w:r w:rsidR="00194F16">
        <w:rPr>
          <w:sz w:val="22"/>
          <w:szCs w:val="22"/>
        </w:rPr>
        <w:t>s</w:t>
      </w:r>
      <w:r w:rsidR="00435A4B">
        <w:rPr>
          <w:sz w:val="22"/>
          <w:szCs w:val="22"/>
        </w:rPr>
        <w:t xml:space="preserve"> of interest</w:t>
      </w:r>
      <w:r w:rsidR="00F7101A">
        <w:rPr>
          <w:sz w:val="22"/>
          <w:szCs w:val="22"/>
        </w:rPr>
        <w:t xml:space="preserve"> so transparency is crucial</w:t>
      </w:r>
      <w:r w:rsidR="00435A4B">
        <w:rPr>
          <w:sz w:val="22"/>
          <w:szCs w:val="22"/>
        </w:rPr>
        <w:t xml:space="preserve">. </w:t>
      </w:r>
    </w:p>
    <w:p w14:paraId="63DAED5F" w14:textId="633D5F1A" w:rsidR="00A8038B" w:rsidRPr="0087534D" w:rsidRDefault="001F2396" w:rsidP="00A8038B">
      <w:pPr>
        <w:spacing w:line="360" w:lineRule="auto"/>
        <w:rPr>
          <w:sz w:val="22"/>
          <w:szCs w:val="22"/>
        </w:rPr>
      </w:pPr>
      <w:r w:rsidRPr="001F2396">
        <w:rPr>
          <w:sz w:val="22"/>
          <w:szCs w:val="22"/>
          <w:lang w:val="en-AU"/>
        </w:rPr>
        <w:t>It can sometimes be useful to justif</w:t>
      </w:r>
      <w:r w:rsidR="00444241">
        <w:rPr>
          <w:sz w:val="22"/>
          <w:szCs w:val="22"/>
          <w:lang w:val="en-AU"/>
        </w:rPr>
        <w:t>y decisions</w:t>
      </w:r>
      <w:r w:rsidRPr="001F2396">
        <w:rPr>
          <w:sz w:val="22"/>
          <w:szCs w:val="22"/>
          <w:lang w:val="en-AU"/>
        </w:rPr>
        <w:t xml:space="preserve"> not </w:t>
      </w:r>
      <w:r w:rsidR="00444241">
        <w:rPr>
          <w:sz w:val="22"/>
          <w:szCs w:val="22"/>
          <w:lang w:val="en-AU"/>
        </w:rPr>
        <w:t xml:space="preserve">to </w:t>
      </w:r>
      <w:r w:rsidR="005F24BE">
        <w:rPr>
          <w:sz w:val="22"/>
          <w:szCs w:val="22"/>
          <w:lang w:val="en-AU"/>
        </w:rPr>
        <w:t>d</w:t>
      </w:r>
      <w:r w:rsidR="00444241">
        <w:rPr>
          <w:sz w:val="22"/>
          <w:szCs w:val="22"/>
          <w:lang w:val="en-AU"/>
        </w:rPr>
        <w:t xml:space="preserve">owngrade </w:t>
      </w:r>
      <w:r w:rsidR="009112E7">
        <w:rPr>
          <w:sz w:val="22"/>
          <w:szCs w:val="22"/>
          <w:lang w:val="en-AU"/>
        </w:rPr>
        <w:t>the quality of the evidence</w:t>
      </w:r>
      <w:r w:rsidR="00A8038B">
        <w:rPr>
          <w:sz w:val="22"/>
          <w:szCs w:val="22"/>
        </w:rPr>
        <w:t xml:space="preserve">. </w:t>
      </w:r>
      <w:r w:rsidR="0090011A">
        <w:rPr>
          <w:sz w:val="22"/>
          <w:szCs w:val="22"/>
        </w:rPr>
        <w:t xml:space="preserve">For example, authors may decide not to downgrade for imprecision </w:t>
      </w:r>
      <w:r w:rsidR="007C271E">
        <w:rPr>
          <w:sz w:val="22"/>
          <w:szCs w:val="22"/>
        </w:rPr>
        <w:t xml:space="preserve">if </w:t>
      </w:r>
      <w:r w:rsidR="0090011A">
        <w:rPr>
          <w:sz w:val="22"/>
          <w:szCs w:val="22"/>
        </w:rPr>
        <w:t xml:space="preserve">the confidence interval </w:t>
      </w:r>
      <w:r w:rsidR="009112E7">
        <w:rPr>
          <w:sz w:val="22"/>
          <w:szCs w:val="22"/>
        </w:rPr>
        <w:t xml:space="preserve">for the relative effect </w:t>
      </w:r>
      <w:r w:rsidR="00194F16">
        <w:rPr>
          <w:sz w:val="22"/>
          <w:szCs w:val="22"/>
        </w:rPr>
        <w:t xml:space="preserve">translates to </w:t>
      </w:r>
      <w:r w:rsidR="00A0529A">
        <w:rPr>
          <w:sz w:val="22"/>
          <w:szCs w:val="22"/>
        </w:rPr>
        <w:t xml:space="preserve">clinically </w:t>
      </w:r>
      <w:r w:rsidR="00194F16">
        <w:rPr>
          <w:sz w:val="22"/>
          <w:szCs w:val="22"/>
        </w:rPr>
        <w:t>small differences</w:t>
      </w:r>
      <w:r>
        <w:rPr>
          <w:sz w:val="22"/>
          <w:szCs w:val="22"/>
        </w:rPr>
        <w:t xml:space="preserve"> in absolute effects</w:t>
      </w:r>
      <w:r w:rsidR="00117C00">
        <w:rPr>
          <w:sz w:val="22"/>
          <w:szCs w:val="22"/>
        </w:rPr>
        <w:t xml:space="preserve">. Alternatively there may be </w:t>
      </w:r>
      <w:r w:rsidR="00A8038B">
        <w:rPr>
          <w:sz w:val="22"/>
          <w:szCs w:val="22"/>
        </w:rPr>
        <w:t xml:space="preserve">evidence of statistical heterogeneity, </w:t>
      </w:r>
      <w:r w:rsidR="00117C00">
        <w:rPr>
          <w:sz w:val="22"/>
          <w:szCs w:val="22"/>
        </w:rPr>
        <w:t xml:space="preserve">but the direction of </w:t>
      </w:r>
      <w:r w:rsidR="0090011A">
        <w:rPr>
          <w:sz w:val="22"/>
          <w:szCs w:val="22"/>
        </w:rPr>
        <w:t xml:space="preserve">the </w:t>
      </w:r>
      <w:r w:rsidR="00A8038B">
        <w:rPr>
          <w:sz w:val="22"/>
          <w:szCs w:val="22"/>
        </w:rPr>
        <w:t>effect is consistent</w:t>
      </w:r>
      <w:r w:rsidR="001728F9">
        <w:rPr>
          <w:sz w:val="22"/>
          <w:szCs w:val="22"/>
        </w:rPr>
        <w:t xml:space="preserve"> across the studies</w:t>
      </w:r>
      <w:r w:rsidR="00A8038B" w:rsidRPr="00537940">
        <w:rPr>
          <w:sz w:val="22"/>
          <w:szCs w:val="22"/>
        </w:rPr>
        <w:t>.</w:t>
      </w:r>
      <w:r w:rsidR="008624B2">
        <w:rPr>
          <w:sz w:val="22"/>
          <w:szCs w:val="22"/>
        </w:rPr>
        <w:t xml:space="preserve"> Footnotes </w:t>
      </w:r>
      <w:r w:rsidR="00F7101A">
        <w:rPr>
          <w:sz w:val="22"/>
          <w:szCs w:val="22"/>
        </w:rPr>
        <w:t xml:space="preserve">are a useful way </w:t>
      </w:r>
      <w:r w:rsidR="00A0529A">
        <w:rPr>
          <w:sz w:val="22"/>
          <w:szCs w:val="22"/>
        </w:rPr>
        <w:t>to record such decisions</w:t>
      </w:r>
      <w:r w:rsidR="008C08AD">
        <w:rPr>
          <w:sz w:val="22"/>
          <w:szCs w:val="22"/>
        </w:rPr>
        <w:t>,</w:t>
      </w:r>
      <w:r w:rsidR="008624B2">
        <w:rPr>
          <w:sz w:val="22"/>
          <w:szCs w:val="22"/>
        </w:rPr>
        <w:t xml:space="preserve"> and </w:t>
      </w:r>
      <w:r w:rsidR="00F7101A">
        <w:rPr>
          <w:sz w:val="22"/>
          <w:szCs w:val="22"/>
        </w:rPr>
        <w:t>along with</w:t>
      </w:r>
      <w:r w:rsidR="008C08AD">
        <w:rPr>
          <w:sz w:val="22"/>
          <w:szCs w:val="22"/>
        </w:rPr>
        <w:t xml:space="preserve"> </w:t>
      </w:r>
      <w:r w:rsidR="005F24BE">
        <w:rPr>
          <w:sz w:val="22"/>
          <w:szCs w:val="22"/>
        </w:rPr>
        <w:t xml:space="preserve">other </w:t>
      </w:r>
      <w:r w:rsidR="008C08AD">
        <w:rPr>
          <w:sz w:val="22"/>
          <w:szCs w:val="22"/>
        </w:rPr>
        <w:t>information presented on downgrading</w:t>
      </w:r>
      <w:r w:rsidR="00F7101A">
        <w:rPr>
          <w:sz w:val="22"/>
          <w:szCs w:val="22"/>
        </w:rPr>
        <w:t>,</w:t>
      </w:r>
      <w:r w:rsidR="008C08AD">
        <w:rPr>
          <w:sz w:val="22"/>
          <w:szCs w:val="22"/>
        </w:rPr>
        <w:t xml:space="preserve"> they </w:t>
      </w:r>
      <w:r w:rsidR="008624B2">
        <w:rPr>
          <w:sz w:val="22"/>
          <w:szCs w:val="22"/>
        </w:rPr>
        <w:t xml:space="preserve">will </w:t>
      </w:r>
      <w:r w:rsidR="008C08AD">
        <w:rPr>
          <w:sz w:val="22"/>
          <w:szCs w:val="22"/>
        </w:rPr>
        <w:t xml:space="preserve">help to inform </w:t>
      </w:r>
      <w:r w:rsidR="008624B2">
        <w:rPr>
          <w:sz w:val="22"/>
          <w:szCs w:val="22"/>
        </w:rPr>
        <w:t xml:space="preserve">the </w:t>
      </w:r>
      <w:r w:rsidR="00F7101A">
        <w:rPr>
          <w:sz w:val="22"/>
          <w:szCs w:val="22"/>
        </w:rPr>
        <w:t xml:space="preserve">development of the discussion and the </w:t>
      </w:r>
      <w:r w:rsidR="008624B2">
        <w:rPr>
          <w:sz w:val="22"/>
          <w:szCs w:val="22"/>
        </w:rPr>
        <w:t>overall interpreta</w:t>
      </w:r>
      <w:r w:rsidR="00F7101A">
        <w:rPr>
          <w:sz w:val="22"/>
          <w:szCs w:val="22"/>
        </w:rPr>
        <w:t>tion of the review findings</w:t>
      </w:r>
      <w:r w:rsidR="008624B2">
        <w:rPr>
          <w:sz w:val="22"/>
          <w:szCs w:val="22"/>
        </w:rPr>
        <w:t xml:space="preserve">.  </w:t>
      </w:r>
      <w:r w:rsidR="00A8038B" w:rsidRPr="00537940">
        <w:rPr>
          <w:sz w:val="22"/>
          <w:szCs w:val="22"/>
        </w:rPr>
        <w:t xml:space="preserve"> </w:t>
      </w:r>
    </w:p>
    <w:p w14:paraId="60D131AC" w14:textId="77777777" w:rsidR="00D13174" w:rsidRPr="0087534D" w:rsidRDefault="00D13174" w:rsidP="00CB0341">
      <w:pPr>
        <w:spacing w:line="360" w:lineRule="auto"/>
        <w:rPr>
          <w:sz w:val="22"/>
          <w:szCs w:val="22"/>
        </w:rPr>
      </w:pPr>
    </w:p>
    <w:p w14:paraId="546B7D5B" w14:textId="77777777" w:rsidR="00DC38C7" w:rsidRDefault="00DC38C7" w:rsidP="00893AF4">
      <w:pPr>
        <w:pStyle w:val="Heading2"/>
        <w:numPr>
          <w:ilvl w:val="0"/>
          <w:numId w:val="4"/>
        </w:numPr>
        <w:spacing w:after="240" w:line="360" w:lineRule="auto"/>
        <w:ind w:left="357" w:hanging="357"/>
        <w:rPr>
          <w:rStyle w:val="Strong"/>
          <w:rFonts w:asciiTheme="minorHAnsi" w:eastAsiaTheme="minorEastAsia" w:hAnsiTheme="minorHAnsi" w:cstheme="minorBidi"/>
          <w:color w:val="auto"/>
          <w:sz w:val="20"/>
          <w:szCs w:val="20"/>
        </w:rPr>
      </w:pPr>
      <w:r w:rsidRPr="00BF64A8">
        <w:rPr>
          <w:rStyle w:val="Strong"/>
          <w:color w:val="1F4E79" w:themeColor="accent1" w:themeShade="80"/>
          <w:sz w:val="32"/>
          <w:szCs w:val="32"/>
          <w:u w:val="single"/>
        </w:rPr>
        <w:t xml:space="preserve">Incorporating information about </w:t>
      </w:r>
      <w:r w:rsidR="000028FF" w:rsidRPr="00BF64A8">
        <w:rPr>
          <w:rStyle w:val="Strong"/>
          <w:color w:val="1F4E79" w:themeColor="accent1" w:themeShade="80"/>
          <w:sz w:val="32"/>
          <w:szCs w:val="32"/>
          <w:u w:val="single"/>
        </w:rPr>
        <w:t xml:space="preserve">the quality of evidence </w:t>
      </w:r>
      <w:r w:rsidRPr="00BF64A8">
        <w:rPr>
          <w:rStyle w:val="Strong"/>
          <w:color w:val="1F4E79" w:themeColor="accent1" w:themeShade="80"/>
          <w:sz w:val="32"/>
          <w:szCs w:val="32"/>
          <w:u w:val="single"/>
        </w:rPr>
        <w:t xml:space="preserve">in the </w:t>
      </w:r>
      <w:r w:rsidR="00447DD5" w:rsidRPr="00BF64A8">
        <w:rPr>
          <w:rStyle w:val="Strong"/>
          <w:color w:val="1F4E79" w:themeColor="accent1" w:themeShade="80"/>
          <w:sz w:val="32"/>
          <w:szCs w:val="32"/>
          <w:u w:val="single"/>
        </w:rPr>
        <w:t>D</w:t>
      </w:r>
      <w:r w:rsidRPr="00BF64A8">
        <w:rPr>
          <w:rStyle w:val="Strong"/>
          <w:color w:val="1F4E79" w:themeColor="accent1" w:themeShade="80"/>
          <w:sz w:val="32"/>
          <w:szCs w:val="32"/>
          <w:u w:val="single"/>
        </w:rPr>
        <w:t>iscussion</w:t>
      </w:r>
    </w:p>
    <w:p w14:paraId="4CAD2EA5" w14:textId="10324778" w:rsidR="00362D87" w:rsidRPr="0087534D" w:rsidRDefault="00F37057" w:rsidP="008229E8">
      <w:pPr>
        <w:spacing w:line="360" w:lineRule="auto"/>
        <w:rPr>
          <w:sz w:val="22"/>
          <w:szCs w:val="22"/>
        </w:rPr>
      </w:pPr>
      <w:r>
        <w:rPr>
          <w:sz w:val="22"/>
          <w:szCs w:val="22"/>
        </w:rPr>
        <w:t xml:space="preserve">It is common to read general statements about the overall risk of bias in </w:t>
      </w:r>
      <w:r w:rsidR="00435A4B">
        <w:rPr>
          <w:sz w:val="22"/>
          <w:szCs w:val="22"/>
        </w:rPr>
        <w:t>the included studies under the d</w:t>
      </w:r>
      <w:r>
        <w:rPr>
          <w:sz w:val="22"/>
          <w:szCs w:val="22"/>
        </w:rPr>
        <w:t>iscussion</w:t>
      </w:r>
      <w:r w:rsidR="00435A4B">
        <w:rPr>
          <w:sz w:val="22"/>
          <w:szCs w:val="22"/>
        </w:rPr>
        <w:t>. However,</w:t>
      </w:r>
      <w:r w:rsidR="008624B2">
        <w:rPr>
          <w:sz w:val="22"/>
          <w:szCs w:val="22"/>
        </w:rPr>
        <w:t xml:space="preserve"> </w:t>
      </w:r>
      <w:r w:rsidR="00444241">
        <w:rPr>
          <w:sz w:val="22"/>
          <w:szCs w:val="22"/>
        </w:rPr>
        <w:t xml:space="preserve">rating </w:t>
      </w:r>
      <w:r w:rsidR="008624B2">
        <w:rPr>
          <w:sz w:val="22"/>
          <w:szCs w:val="22"/>
        </w:rPr>
        <w:t xml:space="preserve">the </w:t>
      </w:r>
      <w:r w:rsidR="00435A4B">
        <w:rPr>
          <w:sz w:val="22"/>
          <w:szCs w:val="22"/>
        </w:rPr>
        <w:t>quality of the evidence</w:t>
      </w:r>
      <w:r w:rsidR="008624B2">
        <w:rPr>
          <w:sz w:val="22"/>
          <w:szCs w:val="22"/>
        </w:rPr>
        <w:t xml:space="preserve"> </w:t>
      </w:r>
      <w:r w:rsidR="00BF08CB">
        <w:rPr>
          <w:sz w:val="22"/>
          <w:szCs w:val="22"/>
        </w:rPr>
        <w:t xml:space="preserve">should focus </w:t>
      </w:r>
      <w:r w:rsidR="00194F16">
        <w:rPr>
          <w:sz w:val="22"/>
          <w:szCs w:val="22"/>
        </w:rPr>
        <w:t xml:space="preserve">not just </w:t>
      </w:r>
      <w:r w:rsidR="00BF08CB">
        <w:rPr>
          <w:sz w:val="22"/>
          <w:szCs w:val="22"/>
        </w:rPr>
        <w:t xml:space="preserve">on </w:t>
      </w:r>
      <w:r w:rsidR="00194F16">
        <w:rPr>
          <w:sz w:val="22"/>
          <w:szCs w:val="22"/>
        </w:rPr>
        <w:t>t</w:t>
      </w:r>
      <w:r w:rsidR="00BF08CB">
        <w:rPr>
          <w:sz w:val="22"/>
          <w:szCs w:val="22"/>
        </w:rPr>
        <w:t>he risk of bias,</w:t>
      </w:r>
      <w:r w:rsidR="00194F16">
        <w:rPr>
          <w:sz w:val="22"/>
          <w:szCs w:val="22"/>
        </w:rPr>
        <w:t xml:space="preserve"> but also how </w:t>
      </w:r>
      <w:r w:rsidR="005A21AA" w:rsidRPr="0087534D">
        <w:rPr>
          <w:sz w:val="22"/>
          <w:szCs w:val="22"/>
        </w:rPr>
        <w:t>imprecision, inconsistency, ind</w:t>
      </w:r>
      <w:r w:rsidR="000C3FAD" w:rsidRPr="0087534D">
        <w:rPr>
          <w:sz w:val="22"/>
          <w:szCs w:val="22"/>
        </w:rPr>
        <w:t>irectness and publication bias</w:t>
      </w:r>
      <w:r w:rsidR="00BF08CB">
        <w:rPr>
          <w:sz w:val="22"/>
          <w:szCs w:val="22"/>
        </w:rPr>
        <w:t xml:space="preserve"> </w:t>
      </w:r>
      <w:r w:rsidR="00194F16">
        <w:rPr>
          <w:sz w:val="22"/>
          <w:szCs w:val="22"/>
        </w:rPr>
        <w:t xml:space="preserve">also </w:t>
      </w:r>
      <w:r w:rsidR="00BF08CB">
        <w:rPr>
          <w:sz w:val="22"/>
          <w:szCs w:val="22"/>
        </w:rPr>
        <w:t>i</w:t>
      </w:r>
      <w:r w:rsidR="00435A4B">
        <w:rPr>
          <w:sz w:val="22"/>
          <w:szCs w:val="22"/>
        </w:rPr>
        <w:t>mpact</w:t>
      </w:r>
      <w:r>
        <w:rPr>
          <w:sz w:val="22"/>
          <w:szCs w:val="22"/>
        </w:rPr>
        <w:t xml:space="preserve"> on the </w:t>
      </w:r>
      <w:r w:rsidR="005F24BE">
        <w:rPr>
          <w:sz w:val="22"/>
          <w:szCs w:val="22"/>
        </w:rPr>
        <w:lastRenderedPageBreak/>
        <w:t>credibility of the results</w:t>
      </w:r>
      <w:r w:rsidR="000C3FAD" w:rsidRPr="0087534D">
        <w:rPr>
          <w:sz w:val="22"/>
          <w:szCs w:val="22"/>
        </w:rPr>
        <w:t xml:space="preserve">. </w:t>
      </w:r>
      <w:r w:rsidR="001D5C5D">
        <w:rPr>
          <w:sz w:val="22"/>
          <w:szCs w:val="22"/>
        </w:rPr>
        <w:t>Th</w:t>
      </w:r>
      <w:r w:rsidR="005F24BE">
        <w:rPr>
          <w:sz w:val="22"/>
          <w:szCs w:val="22"/>
        </w:rPr>
        <w:t>e</w:t>
      </w:r>
      <w:r w:rsidR="00347F2F">
        <w:rPr>
          <w:sz w:val="22"/>
          <w:szCs w:val="22"/>
        </w:rPr>
        <w:t xml:space="preserve">se considerations and </w:t>
      </w:r>
      <w:r w:rsidR="005F24BE">
        <w:rPr>
          <w:sz w:val="22"/>
          <w:szCs w:val="22"/>
        </w:rPr>
        <w:t xml:space="preserve">the </w:t>
      </w:r>
      <w:r w:rsidR="001D5C5D">
        <w:rPr>
          <w:sz w:val="22"/>
          <w:szCs w:val="22"/>
        </w:rPr>
        <w:t xml:space="preserve">thinking </w:t>
      </w:r>
      <w:r w:rsidR="005F24BE">
        <w:rPr>
          <w:sz w:val="22"/>
          <w:szCs w:val="22"/>
        </w:rPr>
        <w:t>behind any downgrading decisions</w:t>
      </w:r>
      <w:r w:rsidR="00347F2F">
        <w:rPr>
          <w:sz w:val="22"/>
          <w:szCs w:val="22"/>
        </w:rPr>
        <w:t xml:space="preserve"> for the GRADE ratings</w:t>
      </w:r>
      <w:r w:rsidR="005F24BE">
        <w:rPr>
          <w:sz w:val="22"/>
          <w:szCs w:val="22"/>
        </w:rPr>
        <w:t xml:space="preserve"> </w:t>
      </w:r>
      <w:r w:rsidR="001D5C5D">
        <w:rPr>
          <w:sz w:val="22"/>
          <w:szCs w:val="22"/>
        </w:rPr>
        <w:t>can</w:t>
      </w:r>
      <w:r w:rsidR="005A21AA" w:rsidRPr="0087534D">
        <w:rPr>
          <w:sz w:val="22"/>
          <w:szCs w:val="22"/>
        </w:rPr>
        <w:t xml:space="preserve"> be summarised and incorporated into the </w:t>
      </w:r>
      <w:r w:rsidR="000C3FAD" w:rsidRPr="0087534D">
        <w:rPr>
          <w:sz w:val="22"/>
          <w:szCs w:val="22"/>
        </w:rPr>
        <w:t>discussion</w:t>
      </w:r>
      <w:r w:rsidR="00194F16">
        <w:rPr>
          <w:sz w:val="22"/>
          <w:szCs w:val="22"/>
        </w:rPr>
        <w:t xml:space="preserve">. </w:t>
      </w:r>
      <w:r w:rsidR="00C630DB">
        <w:rPr>
          <w:sz w:val="22"/>
          <w:szCs w:val="22"/>
        </w:rPr>
        <w:t>T</w:t>
      </w:r>
      <w:r w:rsidR="00194F16">
        <w:rPr>
          <w:sz w:val="22"/>
          <w:szCs w:val="22"/>
        </w:rPr>
        <w:t xml:space="preserve">he optional subheading ‘Quality of the evidence’ </w:t>
      </w:r>
      <w:r w:rsidR="00C630DB">
        <w:rPr>
          <w:sz w:val="22"/>
          <w:szCs w:val="22"/>
        </w:rPr>
        <w:t xml:space="preserve">is an ideal place to include </w:t>
      </w:r>
      <w:r w:rsidR="00194F16">
        <w:rPr>
          <w:sz w:val="22"/>
          <w:szCs w:val="22"/>
        </w:rPr>
        <w:t>this information.</w:t>
      </w:r>
      <w:r w:rsidR="00435A4B">
        <w:rPr>
          <w:sz w:val="22"/>
          <w:szCs w:val="22"/>
        </w:rPr>
        <w:t xml:space="preserve"> </w:t>
      </w:r>
      <w:r>
        <w:rPr>
          <w:sz w:val="22"/>
          <w:szCs w:val="22"/>
        </w:rPr>
        <w:t xml:space="preserve"> </w:t>
      </w:r>
    </w:p>
    <w:p w14:paraId="2AE3419D" w14:textId="77777777" w:rsidR="008229E8" w:rsidRPr="00893AF4" w:rsidRDefault="008229E8" w:rsidP="00893AF4">
      <w:pPr>
        <w:pStyle w:val="Heading2"/>
        <w:spacing w:after="120"/>
        <w:rPr>
          <w:b/>
          <w:i/>
          <w:color w:val="auto"/>
        </w:rPr>
      </w:pPr>
      <w:r w:rsidRPr="00893AF4">
        <w:rPr>
          <w:b/>
          <w:i/>
          <w:color w:val="auto"/>
        </w:rPr>
        <w:t>Good practice examples</w:t>
      </w:r>
      <w:r w:rsidR="00561963" w:rsidRPr="00893AF4">
        <w:rPr>
          <w:b/>
          <w:i/>
          <w:color w:val="auto"/>
        </w:rPr>
        <w:t xml:space="preserve"> </w:t>
      </w:r>
    </w:p>
    <w:p w14:paraId="7A00FE28" w14:textId="6E3D05CC" w:rsidR="00CD7A88" w:rsidRDefault="00205617" w:rsidP="00205617">
      <w:pPr>
        <w:spacing w:after="0" w:line="240" w:lineRule="auto"/>
        <w:ind w:left="720"/>
        <w:rPr>
          <w:i/>
          <w:sz w:val="22"/>
          <w:szCs w:val="22"/>
        </w:rPr>
      </w:pPr>
      <w:r>
        <w:rPr>
          <w:i/>
          <w:sz w:val="22"/>
          <w:szCs w:val="22"/>
        </w:rPr>
        <w:t xml:space="preserve"> </w:t>
      </w:r>
      <w:r w:rsidR="00CD7A88">
        <w:rPr>
          <w:i/>
          <w:sz w:val="22"/>
          <w:szCs w:val="22"/>
        </w:rPr>
        <w:t>‘</w:t>
      </w:r>
      <w:r w:rsidR="00CD7A88" w:rsidRPr="00CD7A88">
        <w:rPr>
          <w:b/>
          <w:i/>
          <w:sz w:val="22"/>
          <w:szCs w:val="22"/>
        </w:rPr>
        <w:t>Quality of the evidence</w:t>
      </w:r>
    </w:p>
    <w:p w14:paraId="21174FC3" w14:textId="30F39788" w:rsidR="00502D47" w:rsidRDefault="00CD7A88" w:rsidP="00205617">
      <w:pPr>
        <w:spacing w:line="240" w:lineRule="auto"/>
        <w:ind w:left="720"/>
        <w:rPr>
          <w:i/>
          <w:sz w:val="22"/>
          <w:szCs w:val="22"/>
        </w:rPr>
      </w:pPr>
      <w:r>
        <w:rPr>
          <w:i/>
          <w:sz w:val="22"/>
          <w:szCs w:val="22"/>
        </w:rPr>
        <w:t>…</w:t>
      </w:r>
      <w:r w:rsidRPr="00CD7A88">
        <w:rPr>
          <w:i/>
          <w:sz w:val="22"/>
          <w:szCs w:val="22"/>
        </w:rPr>
        <w:t>we found the quality of evidence for most outcomes to be of moderate or low quality primarily due to risk of bias and imprecise results because of few fracture events. It could be argued that evidence for hip fractures in the community, and for pelvic fractures, could be assessed as higher quality since the incidence of events is very low and the confidence intervals narrow enough that additional research would not be required. However, the unexplained heterogeneity across studies for pelvic fractures (in particular due to the O'Halloran 2004 study) warrants additional research to determine the effects of hip protectors on pelvic fractures and the evidence was therefore assessed as low quality.</w:t>
      </w:r>
      <w:r>
        <w:rPr>
          <w:i/>
          <w:sz w:val="22"/>
          <w:szCs w:val="22"/>
        </w:rPr>
        <w:t>’</w:t>
      </w:r>
    </w:p>
    <w:p w14:paraId="2B41892F" w14:textId="77777777" w:rsidR="00205617" w:rsidRPr="00C75436" w:rsidRDefault="00205617" w:rsidP="00205617">
      <w:pPr>
        <w:spacing w:after="0" w:line="276" w:lineRule="auto"/>
        <w:rPr>
          <w:sz w:val="22"/>
          <w:szCs w:val="22"/>
        </w:rPr>
      </w:pPr>
      <w:r w:rsidRPr="00C75436">
        <w:rPr>
          <w:sz w:val="22"/>
          <w:szCs w:val="22"/>
        </w:rPr>
        <w:t xml:space="preserve">Santesso N, Carrasco-Labra A, </w:t>
      </w:r>
      <w:proofErr w:type="spellStart"/>
      <w:r w:rsidRPr="00C75436">
        <w:rPr>
          <w:sz w:val="22"/>
          <w:szCs w:val="22"/>
        </w:rPr>
        <w:t>Brignardello</w:t>
      </w:r>
      <w:proofErr w:type="spellEnd"/>
      <w:r w:rsidRPr="00C75436">
        <w:rPr>
          <w:sz w:val="22"/>
          <w:szCs w:val="22"/>
        </w:rPr>
        <w:t xml:space="preserve">-Petersen R. Hip protectors for preventing hip fractures in older people. Cochrane Database of Systematic Reviews 2014, Issue 3. Art. No.: CD001255. DOI: 10.1002/14651858.CD001255.pub5. </w:t>
      </w:r>
    </w:p>
    <w:p w14:paraId="0C389131" w14:textId="77777777" w:rsidR="00205617" w:rsidRPr="00C75436" w:rsidRDefault="00AB18C8" w:rsidP="00205617">
      <w:pPr>
        <w:spacing w:line="276" w:lineRule="auto"/>
        <w:rPr>
          <w:color w:val="0000FF"/>
          <w:sz w:val="22"/>
          <w:szCs w:val="22"/>
        </w:rPr>
      </w:pPr>
      <w:hyperlink r:id="rId11" w:history="1">
        <w:r w:rsidR="00205617" w:rsidRPr="00C75436">
          <w:rPr>
            <w:rStyle w:val="Hyperlink"/>
            <w:sz w:val="22"/>
            <w:szCs w:val="22"/>
          </w:rPr>
          <w:t>http://onlinelibrary.wiley.com/doi/10.1002/14651858.CD001255.pub5/full</w:t>
        </w:r>
      </w:hyperlink>
      <w:r w:rsidR="00205617" w:rsidRPr="00C75436">
        <w:rPr>
          <w:color w:val="0000FF"/>
          <w:sz w:val="22"/>
          <w:szCs w:val="22"/>
        </w:rPr>
        <w:t xml:space="preserve"> </w:t>
      </w:r>
    </w:p>
    <w:p w14:paraId="36146184" w14:textId="77777777" w:rsidR="00205617" w:rsidRDefault="00205617" w:rsidP="00D72E1D">
      <w:pPr>
        <w:spacing w:after="240" w:line="240" w:lineRule="auto"/>
        <w:ind w:left="720"/>
        <w:rPr>
          <w:i/>
          <w:sz w:val="22"/>
          <w:szCs w:val="22"/>
        </w:rPr>
      </w:pPr>
    </w:p>
    <w:p w14:paraId="7DE16CE9" w14:textId="77777777" w:rsidR="00205617" w:rsidRPr="0087534D" w:rsidRDefault="00205617" w:rsidP="00205617">
      <w:pPr>
        <w:spacing w:after="0" w:line="240" w:lineRule="auto"/>
        <w:ind w:left="720"/>
        <w:rPr>
          <w:i/>
          <w:sz w:val="22"/>
          <w:szCs w:val="22"/>
        </w:rPr>
      </w:pPr>
      <w:r w:rsidRPr="0087534D">
        <w:rPr>
          <w:i/>
          <w:sz w:val="22"/>
          <w:szCs w:val="22"/>
        </w:rPr>
        <w:t>‘</w:t>
      </w:r>
      <w:r w:rsidRPr="0087534D">
        <w:rPr>
          <w:b/>
          <w:i/>
          <w:sz w:val="22"/>
          <w:szCs w:val="22"/>
        </w:rPr>
        <w:t>Quality of the evidence</w:t>
      </w:r>
    </w:p>
    <w:p w14:paraId="4C1C2546" w14:textId="77777777" w:rsidR="00205617" w:rsidRPr="0087534D" w:rsidRDefault="00205617" w:rsidP="00205617">
      <w:pPr>
        <w:spacing w:line="240" w:lineRule="auto"/>
        <w:ind w:left="720"/>
        <w:rPr>
          <w:i/>
          <w:sz w:val="22"/>
          <w:szCs w:val="22"/>
        </w:rPr>
      </w:pPr>
      <w:r w:rsidRPr="0087534D">
        <w:rPr>
          <w:i/>
          <w:sz w:val="22"/>
          <w:szCs w:val="22"/>
        </w:rPr>
        <w:t>The quality of findings ranks from moderate to low across the different outcomes. The main limiting factor, which was the reason for a decrease in quality in some outcomes, was the inconsistency of results across the small number of included studies. With only three studies included, it is important to acknowledge the large potential impact if the average effect of one study differs in size or direction.’</w:t>
      </w:r>
    </w:p>
    <w:p w14:paraId="6B4B198A" w14:textId="77777777" w:rsidR="00183DAC" w:rsidRPr="00C75436" w:rsidRDefault="00183DAC" w:rsidP="00435A4B">
      <w:pPr>
        <w:spacing w:after="0" w:line="276" w:lineRule="auto"/>
        <w:rPr>
          <w:sz w:val="22"/>
          <w:szCs w:val="22"/>
        </w:rPr>
      </w:pPr>
      <w:r w:rsidRPr="00C75436">
        <w:rPr>
          <w:sz w:val="22"/>
          <w:szCs w:val="22"/>
        </w:rPr>
        <w:t xml:space="preserve">McGregor AH, </w:t>
      </w:r>
      <w:proofErr w:type="spellStart"/>
      <w:r w:rsidRPr="00C75436">
        <w:rPr>
          <w:sz w:val="22"/>
          <w:szCs w:val="22"/>
        </w:rPr>
        <w:t>Probyn</w:t>
      </w:r>
      <w:proofErr w:type="spellEnd"/>
      <w:r w:rsidRPr="00C75436">
        <w:rPr>
          <w:sz w:val="22"/>
          <w:szCs w:val="22"/>
        </w:rPr>
        <w:t xml:space="preserve"> K, </w:t>
      </w:r>
      <w:proofErr w:type="spellStart"/>
      <w:r w:rsidRPr="00C75436">
        <w:rPr>
          <w:sz w:val="22"/>
          <w:szCs w:val="22"/>
        </w:rPr>
        <w:t>Cro</w:t>
      </w:r>
      <w:proofErr w:type="spellEnd"/>
      <w:r w:rsidRPr="00C75436">
        <w:rPr>
          <w:sz w:val="22"/>
          <w:szCs w:val="22"/>
        </w:rPr>
        <w:t xml:space="preserve"> S, </w:t>
      </w:r>
      <w:proofErr w:type="spellStart"/>
      <w:r w:rsidRPr="00C75436">
        <w:rPr>
          <w:sz w:val="22"/>
          <w:szCs w:val="22"/>
        </w:rPr>
        <w:t>Doré</w:t>
      </w:r>
      <w:proofErr w:type="spellEnd"/>
      <w:r w:rsidRPr="00C75436">
        <w:rPr>
          <w:sz w:val="22"/>
          <w:szCs w:val="22"/>
        </w:rPr>
        <w:t xml:space="preserve"> CJ, Burton AK, </w:t>
      </w:r>
      <w:proofErr w:type="spellStart"/>
      <w:r w:rsidRPr="00C75436">
        <w:rPr>
          <w:sz w:val="22"/>
          <w:szCs w:val="22"/>
        </w:rPr>
        <w:t>Balagué</w:t>
      </w:r>
      <w:proofErr w:type="spellEnd"/>
      <w:r w:rsidRPr="00C75436">
        <w:rPr>
          <w:sz w:val="22"/>
          <w:szCs w:val="22"/>
        </w:rPr>
        <w:t xml:space="preserve"> F, </w:t>
      </w:r>
      <w:proofErr w:type="spellStart"/>
      <w:r w:rsidRPr="00C75436">
        <w:rPr>
          <w:sz w:val="22"/>
          <w:szCs w:val="22"/>
        </w:rPr>
        <w:t>Pincus</w:t>
      </w:r>
      <w:proofErr w:type="spellEnd"/>
      <w:r w:rsidRPr="00C75436">
        <w:rPr>
          <w:sz w:val="22"/>
          <w:szCs w:val="22"/>
        </w:rPr>
        <w:t xml:space="preserve"> T, Fairbank J. Rehabilitation following surgery for lumbar spinal stenosis. Cochrane Database of Systematic Reviews 2013, Issue 12. Art. No.: CD009644. DOI: 10.1002/14651858.CD009644.pub2.</w:t>
      </w:r>
    </w:p>
    <w:p w14:paraId="5509EBF1" w14:textId="3B1FBF5D" w:rsidR="00E9391C" w:rsidRDefault="00AB18C8" w:rsidP="00E9391C">
      <w:pPr>
        <w:spacing w:line="276" w:lineRule="auto"/>
        <w:rPr>
          <w:color w:val="0000FF"/>
          <w:sz w:val="22"/>
          <w:szCs w:val="22"/>
        </w:rPr>
      </w:pPr>
      <w:hyperlink r:id="rId12" w:history="1">
        <w:r w:rsidR="00E9391C" w:rsidRPr="00C75436">
          <w:rPr>
            <w:rStyle w:val="Hyperlink"/>
            <w:sz w:val="22"/>
            <w:szCs w:val="22"/>
          </w:rPr>
          <w:t>http://onlinelibrary.wiley.com/doi/10.1002/14651858.CD009644.pub2/full</w:t>
        </w:r>
      </w:hyperlink>
      <w:r w:rsidR="00E9391C" w:rsidRPr="00C75436">
        <w:rPr>
          <w:color w:val="0000FF"/>
          <w:sz w:val="22"/>
          <w:szCs w:val="22"/>
        </w:rPr>
        <w:t xml:space="preserve"> </w:t>
      </w:r>
    </w:p>
    <w:p w14:paraId="6ECEC75E" w14:textId="77777777" w:rsidR="00205617" w:rsidRPr="00C75436" w:rsidRDefault="00205617" w:rsidP="00E9391C">
      <w:pPr>
        <w:spacing w:line="276" w:lineRule="auto"/>
        <w:rPr>
          <w:color w:val="0000FF"/>
          <w:sz w:val="22"/>
          <w:szCs w:val="22"/>
        </w:rPr>
      </w:pPr>
    </w:p>
    <w:p w14:paraId="48CE3FF1" w14:textId="3CDA2F70" w:rsidR="00E9391C" w:rsidRPr="0087534D" w:rsidRDefault="005F24BE" w:rsidP="0081697D">
      <w:pPr>
        <w:spacing w:line="360" w:lineRule="auto"/>
        <w:rPr>
          <w:sz w:val="22"/>
          <w:szCs w:val="22"/>
        </w:rPr>
      </w:pPr>
      <w:r>
        <w:rPr>
          <w:sz w:val="22"/>
          <w:szCs w:val="22"/>
        </w:rPr>
        <w:t xml:space="preserve">In </w:t>
      </w:r>
      <w:r w:rsidR="007C271E">
        <w:rPr>
          <w:sz w:val="22"/>
          <w:szCs w:val="22"/>
        </w:rPr>
        <w:t xml:space="preserve">both </w:t>
      </w:r>
      <w:r>
        <w:rPr>
          <w:sz w:val="22"/>
          <w:szCs w:val="22"/>
        </w:rPr>
        <w:t xml:space="preserve">of these </w:t>
      </w:r>
      <w:r w:rsidR="007C271E">
        <w:rPr>
          <w:sz w:val="22"/>
          <w:szCs w:val="22"/>
        </w:rPr>
        <w:t xml:space="preserve">reviews </w:t>
      </w:r>
      <w:r w:rsidR="007C271E" w:rsidRPr="0087534D">
        <w:rPr>
          <w:sz w:val="22"/>
          <w:szCs w:val="22"/>
        </w:rPr>
        <w:t xml:space="preserve">the authors </w:t>
      </w:r>
      <w:r w:rsidR="007C271E">
        <w:rPr>
          <w:sz w:val="22"/>
          <w:szCs w:val="22"/>
        </w:rPr>
        <w:t xml:space="preserve">have </w:t>
      </w:r>
      <w:r w:rsidR="007C271E" w:rsidRPr="0087534D">
        <w:rPr>
          <w:sz w:val="22"/>
          <w:szCs w:val="22"/>
        </w:rPr>
        <w:t>summarise</w:t>
      </w:r>
      <w:r w:rsidR="007C271E">
        <w:rPr>
          <w:sz w:val="22"/>
          <w:szCs w:val="22"/>
        </w:rPr>
        <w:t>d</w:t>
      </w:r>
      <w:r w:rsidR="007C271E" w:rsidRPr="0087534D">
        <w:rPr>
          <w:sz w:val="22"/>
          <w:szCs w:val="22"/>
        </w:rPr>
        <w:t xml:space="preserve"> common reasons for downgrading </w:t>
      </w:r>
      <w:r w:rsidR="007179EB">
        <w:rPr>
          <w:sz w:val="22"/>
          <w:szCs w:val="22"/>
        </w:rPr>
        <w:t>the quality of the evidence</w:t>
      </w:r>
      <w:r w:rsidR="007C271E">
        <w:rPr>
          <w:sz w:val="22"/>
          <w:szCs w:val="22"/>
        </w:rPr>
        <w:t xml:space="preserve">, rather than </w:t>
      </w:r>
      <w:r w:rsidR="00A8038B" w:rsidRPr="0087534D">
        <w:rPr>
          <w:sz w:val="22"/>
          <w:szCs w:val="22"/>
        </w:rPr>
        <w:t xml:space="preserve">simply </w:t>
      </w:r>
      <w:r w:rsidR="001D5C5D">
        <w:rPr>
          <w:sz w:val="22"/>
          <w:szCs w:val="22"/>
        </w:rPr>
        <w:t xml:space="preserve">recount </w:t>
      </w:r>
      <w:r w:rsidR="00A8038B" w:rsidRPr="0087534D">
        <w:rPr>
          <w:sz w:val="22"/>
          <w:szCs w:val="22"/>
        </w:rPr>
        <w:t>each downgrading decision for the</w:t>
      </w:r>
      <w:r w:rsidR="007C271E">
        <w:rPr>
          <w:sz w:val="22"/>
          <w:szCs w:val="22"/>
        </w:rPr>
        <w:t xml:space="preserve"> relevant outcomes. </w:t>
      </w:r>
    </w:p>
    <w:p w14:paraId="7EA9DC57" w14:textId="7DB08009" w:rsidR="007C271E" w:rsidRPr="007C271E" w:rsidRDefault="00435A4B" w:rsidP="00846B69">
      <w:pPr>
        <w:spacing w:line="360" w:lineRule="auto"/>
        <w:rPr>
          <w:sz w:val="22"/>
          <w:szCs w:val="22"/>
        </w:rPr>
      </w:pPr>
      <w:r>
        <w:rPr>
          <w:sz w:val="22"/>
          <w:szCs w:val="22"/>
        </w:rPr>
        <w:t>T</w:t>
      </w:r>
      <w:r w:rsidR="007C271E">
        <w:rPr>
          <w:sz w:val="22"/>
          <w:szCs w:val="22"/>
        </w:rPr>
        <w:t>h</w:t>
      </w:r>
      <w:r w:rsidR="007C271E" w:rsidRPr="0087534D">
        <w:rPr>
          <w:sz w:val="22"/>
          <w:szCs w:val="22"/>
        </w:rPr>
        <w:t xml:space="preserve">is </w:t>
      </w:r>
      <w:r>
        <w:rPr>
          <w:sz w:val="22"/>
          <w:szCs w:val="22"/>
        </w:rPr>
        <w:t xml:space="preserve">next example </w:t>
      </w:r>
      <w:r w:rsidR="007C271E">
        <w:rPr>
          <w:sz w:val="22"/>
          <w:szCs w:val="22"/>
        </w:rPr>
        <w:t xml:space="preserve">illustrates how GRADE can still be implemented </w:t>
      </w:r>
      <w:r w:rsidR="002A4169">
        <w:rPr>
          <w:sz w:val="22"/>
          <w:szCs w:val="22"/>
        </w:rPr>
        <w:t xml:space="preserve">and reported </w:t>
      </w:r>
      <w:r w:rsidR="007C271E">
        <w:rPr>
          <w:sz w:val="22"/>
          <w:szCs w:val="22"/>
        </w:rPr>
        <w:t xml:space="preserve">without always being part of a </w:t>
      </w:r>
      <w:proofErr w:type="gramStart"/>
      <w:r w:rsidR="007C271E" w:rsidRPr="0087534D">
        <w:rPr>
          <w:sz w:val="22"/>
          <w:szCs w:val="22"/>
        </w:rPr>
        <w:t>SoF</w:t>
      </w:r>
      <w:proofErr w:type="gramEnd"/>
      <w:r w:rsidR="007C271E" w:rsidRPr="0087534D">
        <w:rPr>
          <w:sz w:val="22"/>
          <w:szCs w:val="22"/>
        </w:rPr>
        <w:t xml:space="preserve"> table.</w:t>
      </w:r>
      <w:r w:rsidR="00F05FBD">
        <w:rPr>
          <w:sz w:val="22"/>
          <w:szCs w:val="22"/>
        </w:rPr>
        <w:t xml:space="preserve"> The review included one study: </w:t>
      </w:r>
    </w:p>
    <w:p w14:paraId="7D9D5E19" w14:textId="1938C584" w:rsidR="00B36104" w:rsidRPr="0087534D" w:rsidRDefault="00205617" w:rsidP="007F6C66">
      <w:pPr>
        <w:spacing w:after="0" w:line="240" w:lineRule="auto"/>
        <w:ind w:left="720"/>
        <w:rPr>
          <w:b/>
          <w:i/>
          <w:sz w:val="22"/>
          <w:szCs w:val="22"/>
        </w:rPr>
      </w:pPr>
      <w:r w:rsidRPr="0087534D">
        <w:rPr>
          <w:i/>
          <w:sz w:val="22"/>
          <w:szCs w:val="22"/>
        </w:rPr>
        <w:t xml:space="preserve"> </w:t>
      </w:r>
      <w:r w:rsidR="00037539" w:rsidRPr="0087534D">
        <w:rPr>
          <w:i/>
          <w:sz w:val="22"/>
          <w:szCs w:val="22"/>
        </w:rPr>
        <w:t>‘</w:t>
      </w:r>
      <w:r w:rsidR="00B36104" w:rsidRPr="0087534D">
        <w:rPr>
          <w:b/>
          <w:i/>
          <w:sz w:val="22"/>
          <w:szCs w:val="22"/>
        </w:rPr>
        <w:t>Quality of the evidence</w:t>
      </w:r>
    </w:p>
    <w:p w14:paraId="79DC4D61" w14:textId="5812B3B1" w:rsidR="00205617" w:rsidRPr="0087534D" w:rsidRDefault="00B36104" w:rsidP="00205617">
      <w:pPr>
        <w:spacing w:line="240" w:lineRule="auto"/>
        <w:ind w:left="720"/>
        <w:rPr>
          <w:i/>
          <w:sz w:val="22"/>
          <w:szCs w:val="22"/>
        </w:rPr>
      </w:pPr>
      <w:r w:rsidRPr="0087534D">
        <w:rPr>
          <w:i/>
          <w:sz w:val="22"/>
          <w:szCs w:val="22"/>
        </w:rPr>
        <w:t>The individual outcomes we examined were all downgraded one level to reflect the fact that</w:t>
      </w:r>
      <w:r w:rsidR="006A3179" w:rsidRPr="0087534D">
        <w:rPr>
          <w:i/>
          <w:sz w:val="22"/>
          <w:szCs w:val="22"/>
        </w:rPr>
        <w:t xml:space="preserve"> </w:t>
      </w:r>
      <w:proofErr w:type="spellStart"/>
      <w:r w:rsidRPr="0087534D">
        <w:rPr>
          <w:i/>
          <w:sz w:val="22"/>
          <w:szCs w:val="22"/>
        </w:rPr>
        <w:t>Wathen</w:t>
      </w:r>
      <w:proofErr w:type="spellEnd"/>
      <w:r w:rsidRPr="0087534D">
        <w:rPr>
          <w:i/>
          <w:sz w:val="22"/>
          <w:szCs w:val="22"/>
        </w:rPr>
        <w:t xml:space="preserve"> 2007 was subject to a high risk of bias due to lack of blinding. </w:t>
      </w:r>
      <w:r w:rsidR="00680776">
        <w:rPr>
          <w:i/>
          <w:sz w:val="22"/>
          <w:szCs w:val="22"/>
        </w:rPr>
        <w:t>(…)</w:t>
      </w:r>
      <w:r w:rsidRPr="0087534D">
        <w:rPr>
          <w:i/>
          <w:sz w:val="22"/>
          <w:szCs w:val="22"/>
        </w:rPr>
        <w:t xml:space="preserve"> Since the imprecision of the results also lowers the quality of the evidence, we downgraded a further evidence level on that basis, so overall we judged the evidence to be of low quality, which</w:t>
      </w:r>
      <w:r w:rsidR="007F6C66" w:rsidRPr="0087534D">
        <w:rPr>
          <w:i/>
          <w:sz w:val="22"/>
          <w:szCs w:val="22"/>
        </w:rPr>
        <w:t xml:space="preserve"> </w:t>
      </w:r>
      <w:r w:rsidRPr="0087534D">
        <w:rPr>
          <w:i/>
          <w:sz w:val="22"/>
          <w:szCs w:val="22"/>
        </w:rPr>
        <w:t>means that further research is very likely to have an important impact on our confidence in the estimate of effect and is likely to change the estimate.</w:t>
      </w:r>
      <w:r w:rsidR="00037539" w:rsidRPr="0087534D">
        <w:rPr>
          <w:i/>
          <w:sz w:val="22"/>
          <w:szCs w:val="22"/>
        </w:rPr>
        <w:t>’</w:t>
      </w:r>
    </w:p>
    <w:p w14:paraId="31FE0A42" w14:textId="77777777" w:rsidR="00205617" w:rsidRPr="0087534D" w:rsidRDefault="00205617" w:rsidP="00205617">
      <w:pPr>
        <w:rPr>
          <w:color w:val="0070C0"/>
          <w:sz w:val="22"/>
          <w:szCs w:val="22"/>
          <w:u w:val="single"/>
        </w:rPr>
      </w:pPr>
      <w:r w:rsidRPr="00C75436">
        <w:rPr>
          <w:sz w:val="22"/>
          <w:szCs w:val="22"/>
        </w:rPr>
        <w:lastRenderedPageBreak/>
        <w:t xml:space="preserve">Black KJL, Bevan CA, Murphy NG, Howard JJ. Nerve blocks for initial pain management of femoral fractures in children. Cochrane Database of Systematic Reviews 2013, Issue 12. Art. No.: CD009587. DOI: 10.1002/14651858.CD009587.pub2. </w:t>
      </w:r>
      <w:hyperlink r:id="rId13" w:history="1">
        <w:r w:rsidRPr="00C75436">
          <w:rPr>
            <w:rStyle w:val="Hyperlink"/>
            <w:sz w:val="22"/>
            <w:szCs w:val="22"/>
          </w:rPr>
          <w:t>http://onlinelibrary.wiley.com/doi/10.1002/14651858.CD009587.pub2/full</w:t>
        </w:r>
      </w:hyperlink>
      <w:r w:rsidRPr="00C75436">
        <w:rPr>
          <w:color w:val="0000FF"/>
          <w:sz w:val="22"/>
          <w:szCs w:val="22"/>
          <w:u w:val="single"/>
        </w:rPr>
        <w:t xml:space="preserve"> </w:t>
      </w:r>
    </w:p>
    <w:p w14:paraId="09694279" w14:textId="77777777" w:rsidR="0081697D" w:rsidRDefault="0081697D" w:rsidP="0081697D">
      <w:pPr>
        <w:spacing w:line="360" w:lineRule="auto"/>
        <w:rPr>
          <w:u w:val="single"/>
        </w:rPr>
      </w:pPr>
    </w:p>
    <w:p w14:paraId="195AAA37" w14:textId="3B8169D8" w:rsidR="00BF08CB" w:rsidRDefault="00BF08CB" w:rsidP="0081697D">
      <w:pPr>
        <w:spacing w:line="360" w:lineRule="auto"/>
        <w:rPr>
          <w:sz w:val="22"/>
          <w:szCs w:val="22"/>
        </w:rPr>
      </w:pPr>
      <w:r>
        <w:rPr>
          <w:sz w:val="22"/>
          <w:szCs w:val="22"/>
        </w:rPr>
        <w:t>In other situations the quality of evidence may be more variable across the outcomes, or the downgrading decisions are more specific to individual outcomes. An appropriately detailed approach to describing the quality of the evidence may sometimes be preferable</w:t>
      </w:r>
      <w:r w:rsidR="00194F16">
        <w:rPr>
          <w:sz w:val="22"/>
          <w:szCs w:val="22"/>
        </w:rPr>
        <w:t xml:space="preserve"> to the briefer summaries shown above</w:t>
      </w:r>
      <w:r>
        <w:rPr>
          <w:sz w:val="22"/>
          <w:szCs w:val="22"/>
        </w:rPr>
        <w:t xml:space="preserve">.   </w:t>
      </w:r>
      <w:r w:rsidRPr="0087534D">
        <w:rPr>
          <w:sz w:val="22"/>
          <w:szCs w:val="22"/>
        </w:rPr>
        <w:t xml:space="preserve"> </w:t>
      </w:r>
    </w:p>
    <w:p w14:paraId="3D424961" w14:textId="77777777" w:rsidR="00BF08CB" w:rsidRPr="0081697D" w:rsidRDefault="00BF08CB" w:rsidP="0081697D">
      <w:pPr>
        <w:spacing w:line="360" w:lineRule="auto"/>
        <w:rPr>
          <w:u w:val="single"/>
        </w:rPr>
      </w:pPr>
    </w:p>
    <w:p w14:paraId="2627CCE3" w14:textId="77777777" w:rsidR="004D6480" w:rsidRPr="004D6480" w:rsidRDefault="004D6480" w:rsidP="00893AF4">
      <w:pPr>
        <w:pStyle w:val="ListParagraph"/>
        <w:numPr>
          <w:ilvl w:val="0"/>
          <w:numId w:val="4"/>
        </w:numPr>
        <w:spacing w:after="240" w:line="360" w:lineRule="auto"/>
        <w:ind w:left="357" w:hanging="357"/>
        <w:rPr>
          <w:rFonts w:asciiTheme="majorHAnsi" w:eastAsiaTheme="majorEastAsia" w:hAnsiTheme="majorHAnsi" w:cstheme="majorBidi"/>
          <w:b/>
          <w:color w:val="1F4E79" w:themeColor="accent1" w:themeShade="80"/>
          <w:sz w:val="32"/>
          <w:szCs w:val="32"/>
          <w:u w:val="single"/>
        </w:rPr>
      </w:pPr>
      <w:r w:rsidRPr="004D6480">
        <w:rPr>
          <w:rFonts w:asciiTheme="majorHAnsi" w:eastAsiaTheme="majorEastAsia" w:hAnsiTheme="majorHAnsi" w:cstheme="majorBidi"/>
          <w:b/>
          <w:color w:val="1F4E79" w:themeColor="accent1" w:themeShade="80"/>
          <w:sz w:val="32"/>
          <w:szCs w:val="32"/>
          <w:u w:val="single"/>
        </w:rPr>
        <w:t>Using GRADE in abstracts, plain language summarie</w:t>
      </w:r>
      <w:r>
        <w:rPr>
          <w:rFonts w:asciiTheme="majorHAnsi" w:eastAsiaTheme="majorEastAsia" w:hAnsiTheme="majorHAnsi" w:cstheme="majorBidi"/>
          <w:b/>
          <w:color w:val="1F4E79" w:themeColor="accent1" w:themeShade="80"/>
          <w:sz w:val="32"/>
          <w:szCs w:val="32"/>
          <w:u w:val="single"/>
        </w:rPr>
        <w:t>s and implications for practice</w:t>
      </w:r>
      <w:r w:rsidRPr="004D6480">
        <w:rPr>
          <w:rFonts w:asciiTheme="majorHAnsi" w:eastAsiaTheme="majorEastAsia" w:hAnsiTheme="majorHAnsi" w:cstheme="majorBidi"/>
          <w:b/>
          <w:color w:val="1F4E79" w:themeColor="accent1" w:themeShade="80"/>
          <w:sz w:val="32"/>
          <w:szCs w:val="32"/>
          <w:u w:val="single"/>
        </w:rPr>
        <w:t xml:space="preserve">  </w:t>
      </w:r>
    </w:p>
    <w:p w14:paraId="7DF25328" w14:textId="7311E151" w:rsidR="00703B52" w:rsidRPr="00481E59" w:rsidRDefault="00064E2A" w:rsidP="00481E59">
      <w:pPr>
        <w:spacing w:line="360" w:lineRule="auto"/>
        <w:rPr>
          <w:sz w:val="22"/>
          <w:szCs w:val="22"/>
        </w:rPr>
      </w:pPr>
      <w:r w:rsidRPr="00064E2A">
        <w:rPr>
          <w:sz w:val="22"/>
          <w:szCs w:val="22"/>
        </w:rPr>
        <w:t xml:space="preserve">As a general rule it is important to consider the outputs of the GRADE process wherever the findings of the review are being described, summarised or interpreted. </w:t>
      </w:r>
      <w:r w:rsidR="003D0378">
        <w:rPr>
          <w:sz w:val="22"/>
          <w:szCs w:val="22"/>
        </w:rPr>
        <w:t xml:space="preserve">Explicitly drawing on the quality of the evidence </w:t>
      </w:r>
      <w:r>
        <w:rPr>
          <w:sz w:val="22"/>
          <w:szCs w:val="22"/>
        </w:rPr>
        <w:t xml:space="preserve">in </w:t>
      </w:r>
      <w:r w:rsidR="003D0378">
        <w:rPr>
          <w:sz w:val="22"/>
          <w:szCs w:val="22"/>
        </w:rPr>
        <w:t>the summary versions of the review and in the conclusi</w:t>
      </w:r>
      <w:r w:rsidR="00C52BC1">
        <w:rPr>
          <w:sz w:val="22"/>
          <w:szCs w:val="22"/>
        </w:rPr>
        <w:t xml:space="preserve">ons helps to avoid </w:t>
      </w:r>
      <w:r w:rsidR="000B5A4F">
        <w:rPr>
          <w:sz w:val="22"/>
          <w:szCs w:val="22"/>
        </w:rPr>
        <w:t>inconsistent</w:t>
      </w:r>
      <w:r w:rsidR="00C52BC1">
        <w:rPr>
          <w:sz w:val="22"/>
          <w:szCs w:val="22"/>
        </w:rPr>
        <w:t xml:space="preserve"> reporting </w:t>
      </w:r>
      <w:r w:rsidR="000B5A4F">
        <w:rPr>
          <w:sz w:val="22"/>
          <w:szCs w:val="22"/>
        </w:rPr>
        <w:t xml:space="preserve">of </w:t>
      </w:r>
      <w:r w:rsidR="00C52BC1">
        <w:rPr>
          <w:sz w:val="22"/>
          <w:szCs w:val="22"/>
        </w:rPr>
        <w:t>results or conclusions</w:t>
      </w:r>
      <w:r w:rsidR="003D0378" w:rsidRPr="0087534D">
        <w:rPr>
          <w:sz w:val="22"/>
          <w:szCs w:val="22"/>
        </w:rPr>
        <w:t xml:space="preserve">. </w:t>
      </w:r>
      <w:r w:rsidR="009060F5">
        <w:rPr>
          <w:sz w:val="22"/>
          <w:szCs w:val="22"/>
        </w:rPr>
        <w:t>I</w:t>
      </w:r>
      <w:r w:rsidR="003A742E">
        <w:rPr>
          <w:sz w:val="22"/>
          <w:szCs w:val="22"/>
        </w:rPr>
        <w:t xml:space="preserve">ntegrating the </w:t>
      </w:r>
      <w:r w:rsidR="003C4117">
        <w:rPr>
          <w:sz w:val="22"/>
          <w:szCs w:val="22"/>
        </w:rPr>
        <w:t xml:space="preserve">quality </w:t>
      </w:r>
      <w:r w:rsidR="003A742E">
        <w:rPr>
          <w:sz w:val="22"/>
          <w:szCs w:val="22"/>
        </w:rPr>
        <w:t xml:space="preserve">ratings with the results also reinforces that </w:t>
      </w:r>
      <w:r w:rsidR="00C630DB">
        <w:rPr>
          <w:sz w:val="22"/>
          <w:szCs w:val="22"/>
        </w:rPr>
        <w:t xml:space="preserve">the </w:t>
      </w:r>
      <w:r w:rsidR="003A742E">
        <w:rPr>
          <w:sz w:val="22"/>
          <w:szCs w:val="22"/>
        </w:rPr>
        <w:t xml:space="preserve">quality of the evidence is a key finding </w:t>
      </w:r>
      <w:r w:rsidR="00C52BC1">
        <w:rPr>
          <w:sz w:val="22"/>
          <w:szCs w:val="22"/>
        </w:rPr>
        <w:t>of the review.</w:t>
      </w:r>
      <w:r w:rsidR="000B5A4F">
        <w:rPr>
          <w:sz w:val="22"/>
          <w:szCs w:val="22"/>
        </w:rPr>
        <w:t xml:space="preserve"> </w:t>
      </w:r>
      <w:r w:rsidR="003A742E">
        <w:rPr>
          <w:sz w:val="22"/>
          <w:szCs w:val="22"/>
        </w:rPr>
        <w:t xml:space="preserve">The following examples show </w:t>
      </w:r>
      <w:r w:rsidR="004D1516" w:rsidRPr="0087534D">
        <w:rPr>
          <w:sz w:val="22"/>
          <w:szCs w:val="22"/>
        </w:rPr>
        <w:t>how this might be approached in the abstract</w:t>
      </w:r>
      <w:r w:rsidR="00B50078">
        <w:rPr>
          <w:sz w:val="22"/>
          <w:szCs w:val="22"/>
        </w:rPr>
        <w:t xml:space="preserve"> and PLS.</w:t>
      </w:r>
    </w:p>
    <w:p w14:paraId="136DA931" w14:textId="7C4450CC" w:rsidR="00C567A3" w:rsidRPr="0087534D" w:rsidRDefault="00205617" w:rsidP="007F6C66">
      <w:pPr>
        <w:spacing w:after="0" w:line="240" w:lineRule="auto"/>
        <w:ind w:left="720"/>
        <w:rPr>
          <w:b/>
          <w:i/>
          <w:sz w:val="22"/>
          <w:szCs w:val="22"/>
        </w:rPr>
      </w:pPr>
      <w:r w:rsidRPr="0087534D">
        <w:rPr>
          <w:i/>
          <w:sz w:val="22"/>
          <w:szCs w:val="22"/>
        </w:rPr>
        <w:t xml:space="preserve"> </w:t>
      </w:r>
      <w:r w:rsidR="00E9391C" w:rsidRPr="0087534D">
        <w:rPr>
          <w:i/>
          <w:sz w:val="22"/>
          <w:szCs w:val="22"/>
        </w:rPr>
        <w:t>‘</w:t>
      </w:r>
      <w:r w:rsidR="00C567A3" w:rsidRPr="0087534D">
        <w:rPr>
          <w:b/>
          <w:i/>
          <w:sz w:val="22"/>
          <w:szCs w:val="22"/>
        </w:rPr>
        <w:t>Abstract Results</w:t>
      </w:r>
    </w:p>
    <w:p w14:paraId="71006CAD" w14:textId="77777777" w:rsidR="00C567A3" w:rsidRPr="0087534D" w:rsidRDefault="00C567A3" w:rsidP="007F6C66">
      <w:pPr>
        <w:spacing w:line="240" w:lineRule="auto"/>
        <w:ind w:left="720"/>
        <w:rPr>
          <w:i/>
          <w:sz w:val="22"/>
          <w:szCs w:val="22"/>
        </w:rPr>
      </w:pPr>
      <w:r w:rsidRPr="0087534D">
        <w:rPr>
          <w:i/>
          <w:sz w:val="22"/>
          <w:szCs w:val="22"/>
        </w:rPr>
        <w:t xml:space="preserve">Antiretroviral therapy started at a hospital and maintained at a health centre (partial decentralisation) probably reduces attrition (RR 0.46, 95% CI 0.29 to 0.71, 4 studies, 39 090 patients, moderate quality evidence). </w:t>
      </w:r>
    </w:p>
    <w:p w14:paraId="38562BAC" w14:textId="77777777" w:rsidR="00C567A3" w:rsidRPr="0087534D" w:rsidRDefault="00C567A3" w:rsidP="007F6C66">
      <w:pPr>
        <w:spacing w:after="0" w:line="240" w:lineRule="auto"/>
        <w:ind w:left="720"/>
        <w:rPr>
          <w:b/>
          <w:i/>
          <w:sz w:val="22"/>
          <w:szCs w:val="22"/>
        </w:rPr>
      </w:pPr>
      <w:r w:rsidRPr="0087534D">
        <w:rPr>
          <w:b/>
          <w:i/>
          <w:sz w:val="22"/>
          <w:szCs w:val="22"/>
        </w:rPr>
        <w:t>PLS</w:t>
      </w:r>
    </w:p>
    <w:p w14:paraId="000BE23E" w14:textId="77777777" w:rsidR="00481E59" w:rsidRDefault="00C567A3" w:rsidP="00481E59">
      <w:pPr>
        <w:spacing w:line="240" w:lineRule="auto"/>
        <w:ind w:left="720"/>
        <w:rPr>
          <w:i/>
          <w:sz w:val="22"/>
          <w:szCs w:val="22"/>
        </w:rPr>
      </w:pPr>
      <w:r w:rsidRPr="0087534D">
        <w:rPr>
          <w:i/>
          <w:sz w:val="22"/>
          <w:szCs w:val="22"/>
        </w:rPr>
        <w:t>We found that if antiretroviral therapy was started at a hospital and continued in a health centre (partial decentralisation), there was probably less attrition and fewer patients were lost to care after one year (four studies, 39 090 patients).’</w:t>
      </w:r>
    </w:p>
    <w:p w14:paraId="63DCAA8D" w14:textId="77777777" w:rsidR="00205617" w:rsidRPr="00C75436" w:rsidRDefault="00205617" w:rsidP="00205617">
      <w:pPr>
        <w:spacing w:after="0" w:line="240" w:lineRule="auto"/>
        <w:rPr>
          <w:sz w:val="22"/>
          <w:szCs w:val="22"/>
        </w:rPr>
      </w:pPr>
      <w:r w:rsidRPr="00C75436">
        <w:rPr>
          <w:sz w:val="22"/>
          <w:szCs w:val="22"/>
        </w:rPr>
        <w:t xml:space="preserve">Kredo T, Ford N, </w:t>
      </w:r>
      <w:proofErr w:type="spellStart"/>
      <w:r w:rsidRPr="00C75436">
        <w:rPr>
          <w:sz w:val="22"/>
          <w:szCs w:val="22"/>
        </w:rPr>
        <w:t>Adeniyi</w:t>
      </w:r>
      <w:proofErr w:type="spellEnd"/>
      <w:r w:rsidRPr="00C75436">
        <w:rPr>
          <w:sz w:val="22"/>
          <w:szCs w:val="22"/>
        </w:rPr>
        <w:t xml:space="preserve"> FB, Garner P. Decentralising HIV treatment in lower- and middle-income countries. Cochrane Database of Systematic Reviews 2013, Issue 6. Art. No.: CD009987. DOI: 10.1002/14651858.CD009987.pub2.</w:t>
      </w:r>
    </w:p>
    <w:p w14:paraId="2387DA96" w14:textId="77777777" w:rsidR="00205617" w:rsidRPr="00C75436" w:rsidRDefault="00AB18C8" w:rsidP="00205617">
      <w:pPr>
        <w:spacing w:line="360" w:lineRule="auto"/>
        <w:rPr>
          <w:color w:val="0000FF"/>
          <w:sz w:val="22"/>
          <w:szCs w:val="22"/>
        </w:rPr>
      </w:pPr>
      <w:hyperlink r:id="rId14" w:history="1">
        <w:r w:rsidR="00205617" w:rsidRPr="00C75436">
          <w:rPr>
            <w:rStyle w:val="Hyperlink"/>
            <w:sz w:val="22"/>
            <w:szCs w:val="22"/>
          </w:rPr>
          <w:t>http://onlinelibrary.wiley.com/doi/10.1002/14651858.CD009987.pub2/abstract</w:t>
        </w:r>
      </w:hyperlink>
      <w:r w:rsidR="00205617" w:rsidRPr="00C75436">
        <w:rPr>
          <w:color w:val="0000FF"/>
          <w:sz w:val="22"/>
          <w:szCs w:val="22"/>
        </w:rPr>
        <w:t xml:space="preserve"> </w:t>
      </w:r>
    </w:p>
    <w:p w14:paraId="1B0DA819" w14:textId="77777777" w:rsidR="00481E59" w:rsidRDefault="00481E59" w:rsidP="00481E59">
      <w:pPr>
        <w:spacing w:line="240" w:lineRule="auto"/>
        <w:rPr>
          <w:i/>
          <w:sz w:val="22"/>
          <w:szCs w:val="22"/>
        </w:rPr>
      </w:pPr>
    </w:p>
    <w:p w14:paraId="679E4E95" w14:textId="3B2BDCCE" w:rsidR="003A742E" w:rsidRDefault="003A742E" w:rsidP="003A742E">
      <w:pPr>
        <w:spacing w:line="240" w:lineRule="auto"/>
        <w:ind w:left="720"/>
        <w:rPr>
          <w:i/>
          <w:sz w:val="22"/>
          <w:szCs w:val="22"/>
        </w:rPr>
      </w:pPr>
      <w:r>
        <w:rPr>
          <w:i/>
          <w:sz w:val="22"/>
          <w:szCs w:val="22"/>
        </w:rPr>
        <w:t>‘</w:t>
      </w:r>
      <w:r w:rsidRPr="003A742E">
        <w:rPr>
          <w:b/>
          <w:i/>
          <w:sz w:val="22"/>
          <w:szCs w:val="22"/>
        </w:rPr>
        <w:t>Abstract</w:t>
      </w:r>
    </w:p>
    <w:p w14:paraId="14375B23" w14:textId="77777777" w:rsidR="004315E5" w:rsidRDefault="004315E5" w:rsidP="003A742E">
      <w:pPr>
        <w:spacing w:line="240" w:lineRule="auto"/>
        <w:ind w:left="720"/>
        <w:rPr>
          <w:i/>
          <w:sz w:val="22"/>
          <w:szCs w:val="22"/>
        </w:rPr>
      </w:pPr>
      <w:r w:rsidRPr="004315E5">
        <w:rPr>
          <w:i/>
          <w:sz w:val="22"/>
          <w:szCs w:val="22"/>
        </w:rPr>
        <w:t>There is moderate quality evidence when pooling data from five trials in the community (5614 participants) that shows little or no effect in hip fracture risk (RR 1.15, 95% CI 0.84 to 1.58); the absolute effect is two more people (95% CI 2 fewer to 6 more) per 1000 people having a hip fracture when provided with hip protectors.</w:t>
      </w:r>
    </w:p>
    <w:p w14:paraId="5B40F045" w14:textId="2AB00E9B" w:rsidR="003A742E" w:rsidRPr="003A742E" w:rsidRDefault="003A742E" w:rsidP="00893AF4">
      <w:pPr>
        <w:spacing w:after="0" w:line="240" w:lineRule="auto"/>
        <w:ind w:left="720"/>
        <w:rPr>
          <w:b/>
          <w:i/>
          <w:sz w:val="22"/>
          <w:szCs w:val="22"/>
        </w:rPr>
      </w:pPr>
      <w:r w:rsidRPr="003A742E">
        <w:rPr>
          <w:b/>
          <w:i/>
          <w:sz w:val="22"/>
          <w:szCs w:val="22"/>
        </w:rPr>
        <w:t>PLS</w:t>
      </w:r>
    </w:p>
    <w:p w14:paraId="4266B910" w14:textId="77777777" w:rsidR="00481E59" w:rsidRPr="00481E59" w:rsidRDefault="00481E59" w:rsidP="00481E59">
      <w:pPr>
        <w:spacing w:line="240" w:lineRule="auto"/>
        <w:ind w:left="720"/>
        <w:rPr>
          <w:i/>
          <w:sz w:val="22"/>
          <w:szCs w:val="22"/>
        </w:rPr>
      </w:pPr>
      <w:r w:rsidRPr="00481E59">
        <w:rPr>
          <w:i/>
          <w:sz w:val="22"/>
          <w:szCs w:val="22"/>
        </w:rPr>
        <w:lastRenderedPageBreak/>
        <w:t>Overall, there was moderate quality evidence from these studies for the following results.</w:t>
      </w:r>
    </w:p>
    <w:p w14:paraId="2D8D039D" w14:textId="28A99F34" w:rsidR="003A742E" w:rsidRDefault="00481E59" w:rsidP="00205617">
      <w:pPr>
        <w:spacing w:line="240" w:lineRule="auto"/>
        <w:ind w:left="720"/>
        <w:rPr>
          <w:i/>
          <w:sz w:val="22"/>
          <w:szCs w:val="22"/>
          <w:lang w:val="en-AU"/>
        </w:rPr>
      </w:pPr>
      <w:r w:rsidRPr="00481E59">
        <w:rPr>
          <w:i/>
          <w:sz w:val="22"/>
          <w:szCs w:val="22"/>
        </w:rPr>
        <w:t>In older people living in nursing care faciliti</w:t>
      </w:r>
      <w:r w:rsidR="000B5A4F">
        <w:rPr>
          <w:i/>
          <w:sz w:val="22"/>
          <w:szCs w:val="22"/>
        </w:rPr>
        <w:t xml:space="preserve">es, providing a hip protector </w:t>
      </w:r>
      <w:r w:rsidRPr="00481E59">
        <w:rPr>
          <w:i/>
          <w:sz w:val="22"/>
          <w:szCs w:val="22"/>
        </w:rPr>
        <w:t>probably decreases the chance of a hip fracture slightly</w:t>
      </w:r>
      <w:r>
        <w:rPr>
          <w:i/>
          <w:sz w:val="22"/>
          <w:szCs w:val="22"/>
          <w:lang w:val="en-AU"/>
        </w:rPr>
        <w:t>‘</w:t>
      </w:r>
    </w:p>
    <w:p w14:paraId="6F20B5F4" w14:textId="77777777" w:rsidR="00205617" w:rsidRPr="00893AF4" w:rsidRDefault="00205617" w:rsidP="00205617">
      <w:pPr>
        <w:spacing w:after="0" w:line="240" w:lineRule="auto"/>
        <w:rPr>
          <w:sz w:val="22"/>
          <w:szCs w:val="22"/>
        </w:rPr>
      </w:pPr>
      <w:r w:rsidRPr="00893AF4">
        <w:rPr>
          <w:sz w:val="22"/>
          <w:szCs w:val="22"/>
        </w:rPr>
        <w:t xml:space="preserve">Santesso N, Carrasco-Labra A, </w:t>
      </w:r>
      <w:proofErr w:type="spellStart"/>
      <w:r w:rsidRPr="00893AF4">
        <w:rPr>
          <w:sz w:val="22"/>
          <w:szCs w:val="22"/>
        </w:rPr>
        <w:t>Brignardello</w:t>
      </w:r>
      <w:proofErr w:type="spellEnd"/>
      <w:r w:rsidRPr="00893AF4">
        <w:rPr>
          <w:sz w:val="22"/>
          <w:szCs w:val="22"/>
        </w:rPr>
        <w:t>-Petersen R. Hip protectors for preventing hip fractures in older people. Cochrane Database of Systematic Reviews 2014, Issue 3. Art. No.: CD001255. DOI: 10.1002/14651858.CD001255.pub5.</w:t>
      </w:r>
    </w:p>
    <w:p w14:paraId="54F13BAA" w14:textId="77777777" w:rsidR="00205617" w:rsidRPr="00481E59" w:rsidRDefault="00AB18C8" w:rsidP="00205617">
      <w:pPr>
        <w:spacing w:line="240" w:lineRule="auto"/>
        <w:rPr>
          <w:sz w:val="22"/>
          <w:szCs w:val="22"/>
        </w:rPr>
      </w:pPr>
      <w:hyperlink r:id="rId15" w:history="1">
        <w:r w:rsidR="00205617" w:rsidRPr="00481E59">
          <w:rPr>
            <w:rStyle w:val="Hyperlink"/>
            <w:sz w:val="22"/>
            <w:szCs w:val="22"/>
          </w:rPr>
          <w:t>http://onlinelibrary.wiley.com/doi/10.1002/14651858.CD001255.pub5/abstract</w:t>
        </w:r>
      </w:hyperlink>
      <w:r w:rsidR="00205617" w:rsidRPr="00481E59">
        <w:rPr>
          <w:sz w:val="22"/>
          <w:szCs w:val="22"/>
        </w:rPr>
        <w:t xml:space="preserve"> </w:t>
      </w:r>
    </w:p>
    <w:p w14:paraId="309C59A6" w14:textId="41313FCD" w:rsidR="003A742E" w:rsidRDefault="003A742E" w:rsidP="00AF40BA">
      <w:pPr>
        <w:spacing w:line="360" w:lineRule="auto"/>
        <w:rPr>
          <w:sz w:val="22"/>
          <w:szCs w:val="22"/>
        </w:rPr>
      </w:pPr>
    </w:p>
    <w:p w14:paraId="17E61FA2" w14:textId="6FE1D14D" w:rsidR="00283E3D" w:rsidRPr="0087534D" w:rsidRDefault="003D0378" w:rsidP="00AF40BA">
      <w:pPr>
        <w:spacing w:line="360" w:lineRule="auto"/>
        <w:rPr>
          <w:sz w:val="22"/>
          <w:szCs w:val="22"/>
        </w:rPr>
      </w:pPr>
      <w:r>
        <w:rPr>
          <w:sz w:val="22"/>
          <w:szCs w:val="22"/>
        </w:rPr>
        <w:t>P</w:t>
      </w:r>
      <w:r w:rsidR="00A177C5" w:rsidRPr="0087534D">
        <w:rPr>
          <w:sz w:val="22"/>
          <w:szCs w:val="22"/>
        </w:rPr>
        <w:t>resent</w:t>
      </w:r>
      <w:r w:rsidR="0099716A">
        <w:rPr>
          <w:sz w:val="22"/>
          <w:szCs w:val="22"/>
        </w:rPr>
        <w:t xml:space="preserve">ing results </w:t>
      </w:r>
      <w:r w:rsidR="00A177C5" w:rsidRPr="0087534D">
        <w:rPr>
          <w:sz w:val="22"/>
          <w:szCs w:val="22"/>
        </w:rPr>
        <w:t>in conjunction with the quality of the evidence</w:t>
      </w:r>
      <w:r>
        <w:rPr>
          <w:sz w:val="22"/>
          <w:szCs w:val="22"/>
        </w:rPr>
        <w:t xml:space="preserve"> focusses </w:t>
      </w:r>
      <w:r w:rsidR="00C567A3" w:rsidRPr="0087534D">
        <w:rPr>
          <w:sz w:val="22"/>
          <w:szCs w:val="22"/>
        </w:rPr>
        <w:t>attention on</w:t>
      </w:r>
      <w:r w:rsidR="0099716A">
        <w:rPr>
          <w:sz w:val="22"/>
          <w:szCs w:val="22"/>
        </w:rPr>
        <w:t xml:space="preserve"> the</w:t>
      </w:r>
      <w:r w:rsidR="001D5C5D">
        <w:rPr>
          <w:sz w:val="22"/>
          <w:szCs w:val="22"/>
        </w:rPr>
        <w:t xml:space="preserve"> authors’</w:t>
      </w:r>
      <w:r w:rsidR="00C567A3" w:rsidRPr="0087534D">
        <w:rPr>
          <w:sz w:val="22"/>
          <w:szCs w:val="22"/>
        </w:rPr>
        <w:t xml:space="preserve"> </w:t>
      </w:r>
      <w:r w:rsidR="001D5C5D">
        <w:rPr>
          <w:sz w:val="22"/>
          <w:szCs w:val="22"/>
        </w:rPr>
        <w:t xml:space="preserve">confidence </w:t>
      </w:r>
      <w:r w:rsidR="00B50078">
        <w:rPr>
          <w:sz w:val="22"/>
          <w:szCs w:val="22"/>
        </w:rPr>
        <w:t>in the estimated effect</w:t>
      </w:r>
      <w:r>
        <w:rPr>
          <w:sz w:val="22"/>
          <w:szCs w:val="22"/>
        </w:rPr>
        <w:t>,</w:t>
      </w:r>
      <w:r w:rsidR="009B7927" w:rsidRPr="0087534D">
        <w:rPr>
          <w:sz w:val="22"/>
          <w:szCs w:val="22"/>
        </w:rPr>
        <w:t xml:space="preserve"> rather than </w:t>
      </w:r>
      <w:r w:rsidR="00B50078">
        <w:rPr>
          <w:sz w:val="22"/>
          <w:szCs w:val="22"/>
        </w:rPr>
        <w:t xml:space="preserve">just </w:t>
      </w:r>
      <w:r w:rsidR="00995843">
        <w:rPr>
          <w:sz w:val="22"/>
          <w:szCs w:val="22"/>
        </w:rPr>
        <w:t xml:space="preserve">whether </w:t>
      </w:r>
      <w:r w:rsidR="009B7927" w:rsidRPr="0087534D">
        <w:rPr>
          <w:sz w:val="22"/>
          <w:szCs w:val="22"/>
        </w:rPr>
        <w:t xml:space="preserve">the </w:t>
      </w:r>
      <w:r w:rsidR="00995843">
        <w:rPr>
          <w:sz w:val="22"/>
          <w:szCs w:val="22"/>
        </w:rPr>
        <w:t xml:space="preserve">results </w:t>
      </w:r>
      <w:r w:rsidR="00C52BC1">
        <w:rPr>
          <w:sz w:val="22"/>
          <w:szCs w:val="22"/>
        </w:rPr>
        <w:t>are</w:t>
      </w:r>
      <w:r w:rsidR="00995843">
        <w:rPr>
          <w:sz w:val="22"/>
          <w:szCs w:val="22"/>
        </w:rPr>
        <w:t xml:space="preserve"> </w:t>
      </w:r>
      <w:r w:rsidR="009B7927" w:rsidRPr="0087534D">
        <w:rPr>
          <w:sz w:val="22"/>
          <w:szCs w:val="22"/>
        </w:rPr>
        <w:t>s</w:t>
      </w:r>
      <w:r w:rsidR="00AF40BA" w:rsidRPr="0087534D">
        <w:rPr>
          <w:sz w:val="22"/>
          <w:szCs w:val="22"/>
        </w:rPr>
        <w:t>tatistical</w:t>
      </w:r>
      <w:r w:rsidR="00995843">
        <w:rPr>
          <w:sz w:val="22"/>
          <w:szCs w:val="22"/>
        </w:rPr>
        <w:t>ly</w:t>
      </w:r>
      <w:r w:rsidR="00AF40BA" w:rsidRPr="0087534D">
        <w:rPr>
          <w:sz w:val="22"/>
          <w:szCs w:val="22"/>
        </w:rPr>
        <w:t xml:space="preserve"> significan</w:t>
      </w:r>
      <w:r w:rsidR="00995843">
        <w:rPr>
          <w:sz w:val="22"/>
          <w:szCs w:val="22"/>
        </w:rPr>
        <w:t>t</w:t>
      </w:r>
      <w:r w:rsidR="00AF40BA" w:rsidRPr="0087534D">
        <w:rPr>
          <w:sz w:val="22"/>
          <w:szCs w:val="22"/>
        </w:rPr>
        <w:t>.</w:t>
      </w:r>
      <w:r>
        <w:rPr>
          <w:sz w:val="22"/>
          <w:szCs w:val="22"/>
        </w:rPr>
        <w:t xml:space="preserve"> A similar approach </w:t>
      </w:r>
      <w:r w:rsidR="00CF7E1F">
        <w:rPr>
          <w:sz w:val="22"/>
          <w:szCs w:val="22"/>
        </w:rPr>
        <w:t xml:space="preserve">can help </w:t>
      </w:r>
      <w:r w:rsidR="00995843">
        <w:rPr>
          <w:sz w:val="22"/>
          <w:szCs w:val="22"/>
        </w:rPr>
        <w:t>when formulating implications for practice</w:t>
      </w:r>
      <w:r w:rsidR="003C4117" w:rsidRPr="0087534D">
        <w:rPr>
          <w:sz w:val="22"/>
          <w:szCs w:val="22"/>
        </w:rPr>
        <w:t xml:space="preserve">. </w:t>
      </w:r>
      <w:r w:rsidR="000B5A4F">
        <w:rPr>
          <w:sz w:val="22"/>
          <w:szCs w:val="22"/>
        </w:rPr>
        <w:t>C</w:t>
      </w:r>
      <w:r w:rsidR="00283E3D" w:rsidRPr="0087534D">
        <w:rPr>
          <w:sz w:val="22"/>
          <w:szCs w:val="22"/>
        </w:rPr>
        <w:t>onsider the following</w:t>
      </w:r>
      <w:r w:rsidR="003D0E4E" w:rsidRPr="0087534D">
        <w:rPr>
          <w:sz w:val="22"/>
          <w:szCs w:val="22"/>
        </w:rPr>
        <w:t xml:space="preserve"> statements</w:t>
      </w:r>
      <w:r w:rsidR="00283E3D" w:rsidRPr="0087534D">
        <w:rPr>
          <w:sz w:val="22"/>
          <w:szCs w:val="22"/>
        </w:rPr>
        <w:t xml:space="preserve">: </w:t>
      </w:r>
    </w:p>
    <w:p w14:paraId="72585680" w14:textId="77777777" w:rsidR="00362D87" w:rsidRPr="0087534D" w:rsidRDefault="00283E3D" w:rsidP="00502D47">
      <w:pPr>
        <w:pStyle w:val="ListParagraph"/>
        <w:numPr>
          <w:ilvl w:val="0"/>
          <w:numId w:val="2"/>
        </w:numPr>
        <w:spacing w:after="0" w:line="360" w:lineRule="auto"/>
        <w:ind w:left="714" w:hanging="357"/>
        <w:rPr>
          <w:i/>
          <w:sz w:val="22"/>
          <w:szCs w:val="22"/>
        </w:rPr>
      </w:pPr>
      <w:r w:rsidRPr="0087534D">
        <w:rPr>
          <w:i/>
          <w:sz w:val="22"/>
          <w:szCs w:val="22"/>
        </w:rPr>
        <w:t>‘Treatment with [intervention] leads to statistically significant</w:t>
      </w:r>
      <w:r w:rsidR="005C1988" w:rsidRPr="0087534D">
        <w:rPr>
          <w:i/>
          <w:sz w:val="22"/>
          <w:szCs w:val="22"/>
        </w:rPr>
        <w:t xml:space="preserve"> reductions in [outcome</w:t>
      </w:r>
      <w:r w:rsidRPr="0087534D">
        <w:rPr>
          <w:i/>
          <w:sz w:val="22"/>
          <w:szCs w:val="22"/>
        </w:rPr>
        <w:t>].’</w:t>
      </w:r>
    </w:p>
    <w:p w14:paraId="41FB713C" w14:textId="23F31214" w:rsidR="00283E3D" w:rsidRPr="0087534D" w:rsidRDefault="00283E3D" w:rsidP="00502D47">
      <w:pPr>
        <w:pStyle w:val="ListParagraph"/>
        <w:numPr>
          <w:ilvl w:val="0"/>
          <w:numId w:val="2"/>
        </w:numPr>
        <w:spacing w:after="0" w:line="360" w:lineRule="auto"/>
        <w:ind w:left="714" w:hanging="357"/>
        <w:rPr>
          <w:i/>
          <w:sz w:val="22"/>
          <w:szCs w:val="22"/>
        </w:rPr>
      </w:pPr>
      <w:r w:rsidRPr="0087534D">
        <w:rPr>
          <w:i/>
          <w:sz w:val="22"/>
          <w:szCs w:val="22"/>
        </w:rPr>
        <w:t>‘There is low quality evidence that [inter</w:t>
      </w:r>
      <w:r w:rsidR="005C1988" w:rsidRPr="0087534D">
        <w:rPr>
          <w:i/>
          <w:sz w:val="22"/>
          <w:szCs w:val="22"/>
        </w:rPr>
        <w:t>vention]</w:t>
      </w:r>
      <w:r w:rsidR="00734375">
        <w:rPr>
          <w:i/>
          <w:sz w:val="22"/>
          <w:szCs w:val="22"/>
        </w:rPr>
        <w:t xml:space="preserve"> </w:t>
      </w:r>
      <w:r w:rsidR="005C1988" w:rsidRPr="0087534D">
        <w:rPr>
          <w:i/>
          <w:sz w:val="22"/>
          <w:szCs w:val="22"/>
        </w:rPr>
        <w:t>reduce</w:t>
      </w:r>
      <w:r w:rsidR="00734375">
        <w:rPr>
          <w:i/>
          <w:sz w:val="22"/>
          <w:szCs w:val="22"/>
        </w:rPr>
        <w:t>s</w:t>
      </w:r>
      <w:r w:rsidR="005C1988" w:rsidRPr="0087534D">
        <w:rPr>
          <w:i/>
          <w:sz w:val="22"/>
          <w:szCs w:val="22"/>
        </w:rPr>
        <w:t xml:space="preserve"> [outcome</w:t>
      </w:r>
      <w:r w:rsidRPr="0087534D">
        <w:rPr>
          <w:i/>
          <w:sz w:val="22"/>
          <w:szCs w:val="22"/>
        </w:rPr>
        <w:t xml:space="preserve">].’  </w:t>
      </w:r>
    </w:p>
    <w:p w14:paraId="6633EF46" w14:textId="77777777" w:rsidR="00502D47" w:rsidRPr="003C4117" w:rsidRDefault="00502D47" w:rsidP="003C4117">
      <w:pPr>
        <w:spacing w:after="0" w:line="360" w:lineRule="auto"/>
        <w:rPr>
          <w:i/>
          <w:sz w:val="22"/>
          <w:szCs w:val="22"/>
        </w:rPr>
      </w:pPr>
    </w:p>
    <w:p w14:paraId="716F4085" w14:textId="735AEFB9" w:rsidR="0041783A" w:rsidRPr="0087534D" w:rsidRDefault="00B649CB" w:rsidP="005C1988">
      <w:pPr>
        <w:spacing w:line="360" w:lineRule="auto"/>
        <w:rPr>
          <w:iCs/>
          <w:sz w:val="22"/>
          <w:szCs w:val="22"/>
        </w:rPr>
      </w:pPr>
      <w:r w:rsidRPr="0087534D">
        <w:rPr>
          <w:iCs/>
          <w:sz w:val="22"/>
          <w:szCs w:val="22"/>
        </w:rPr>
        <w:t xml:space="preserve">In </w:t>
      </w:r>
      <w:r w:rsidR="0041783A" w:rsidRPr="0087534D">
        <w:rPr>
          <w:iCs/>
          <w:sz w:val="22"/>
          <w:szCs w:val="22"/>
        </w:rPr>
        <w:t xml:space="preserve">the first statement, the emphasis </w:t>
      </w:r>
      <w:r w:rsidRPr="0087534D">
        <w:rPr>
          <w:iCs/>
          <w:sz w:val="22"/>
          <w:szCs w:val="22"/>
        </w:rPr>
        <w:t>on statistical significance</w:t>
      </w:r>
      <w:r w:rsidR="0041783A" w:rsidRPr="0087534D">
        <w:rPr>
          <w:iCs/>
          <w:sz w:val="22"/>
          <w:szCs w:val="22"/>
        </w:rPr>
        <w:t xml:space="preserve"> fails to convey</w:t>
      </w:r>
      <w:r w:rsidR="0007103C" w:rsidRPr="0087534D">
        <w:rPr>
          <w:iCs/>
          <w:sz w:val="22"/>
          <w:szCs w:val="22"/>
        </w:rPr>
        <w:t xml:space="preserve"> the </w:t>
      </w:r>
      <w:r w:rsidR="00995843">
        <w:rPr>
          <w:iCs/>
          <w:sz w:val="22"/>
          <w:szCs w:val="22"/>
        </w:rPr>
        <w:t>quality of the evidence</w:t>
      </w:r>
      <w:r w:rsidR="003D0378">
        <w:rPr>
          <w:iCs/>
          <w:sz w:val="22"/>
          <w:szCs w:val="22"/>
        </w:rPr>
        <w:t>. R</w:t>
      </w:r>
      <w:r w:rsidR="0041783A" w:rsidRPr="0087534D">
        <w:rPr>
          <w:iCs/>
          <w:sz w:val="22"/>
          <w:szCs w:val="22"/>
        </w:rPr>
        <w:t>e</w:t>
      </w:r>
      <w:r w:rsidR="003D0378">
        <w:rPr>
          <w:iCs/>
          <w:sz w:val="22"/>
          <w:szCs w:val="22"/>
        </w:rPr>
        <w:t xml:space="preserve">placing </w:t>
      </w:r>
      <w:r w:rsidR="0041783A" w:rsidRPr="0087534D">
        <w:rPr>
          <w:iCs/>
          <w:sz w:val="22"/>
          <w:szCs w:val="22"/>
        </w:rPr>
        <w:t xml:space="preserve">‘statistically significant’ </w:t>
      </w:r>
      <w:r w:rsidR="003D0378">
        <w:rPr>
          <w:iCs/>
          <w:sz w:val="22"/>
          <w:szCs w:val="22"/>
        </w:rPr>
        <w:t xml:space="preserve">with the quality </w:t>
      </w:r>
      <w:r w:rsidR="00C52BC1">
        <w:rPr>
          <w:iCs/>
          <w:sz w:val="22"/>
          <w:szCs w:val="22"/>
        </w:rPr>
        <w:t xml:space="preserve">rating </w:t>
      </w:r>
      <w:r w:rsidR="003D0378">
        <w:rPr>
          <w:iCs/>
          <w:sz w:val="22"/>
          <w:szCs w:val="22"/>
        </w:rPr>
        <w:t xml:space="preserve">helps to convey the </w:t>
      </w:r>
      <w:r w:rsidR="002D7950">
        <w:rPr>
          <w:iCs/>
          <w:sz w:val="22"/>
          <w:szCs w:val="22"/>
        </w:rPr>
        <w:t xml:space="preserve">authors’ </w:t>
      </w:r>
      <w:r w:rsidR="003D0378">
        <w:rPr>
          <w:iCs/>
          <w:sz w:val="22"/>
          <w:szCs w:val="22"/>
        </w:rPr>
        <w:t>confidence in the effect</w:t>
      </w:r>
      <w:r w:rsidR="00CF7E1F">
        <w:rPr>
          <w:iCs/>
          <w:sz w:val="22"/>
          <w:szCs w:val="22"/>
        </w:rPr>
        <w:t xml:space="preserve"> </w:t>
      </w:r>
      <w:r w:rsidR="00C52BC1">
        <w:rPr>
          <w:iCs/>
          <w:sz w:val="22"/>
          <w:szCs w:val="22"/>
        </w:rPr>
        <w:t xml:space="preserve">more clearly. </w:t>
      </w:r>
      <w:r w:rsidR="003D0378">
        <w:rPr>
          <w:iCs/>
          <w:sz w:val="22"/>
          <w:szCs w:val="22"/>
        </w:rPr>
        <w:t xml:space="preserve"> </w:t>
      </w:r>
      <w:r w:rsidR="0007103C" w:rsidRPr="0087534D">
        <w:rPr>
          <w:iCs/>
          <w:sz w:val="22"/>
          <w:szCs w:val="22"/>
        </w:rPr>
        <w:t xml:space="preserve"> </w:t>
      </w:r>
    </w:p>
    <w:p w14:paraId="540B2454" w14:textId="77777777" w:rsidR="00362D87" w:rsidRPr="0087534D" w:rsidRDefault="0041783A" w:rsidP="005C1988">
      <w:pPr>
        <w:spacing w:line="360" w:lineRule="auto"/>
        <w:rPr>
          <w:iCs/>
          <w:sz w:val="22"/>
          <w:szCs w:val="22"/>
        </w:rPr>
      </w:pPr>
      <w:r w:rsidRPr="0087534D">
        <w:rPr>
          <w:iCs/>
          <w:sz w:val="22"/>
          <w:szCs w:val="22"/>
        </w:rPr>
        <w:t xml:space="preserve">Another common occurrence is to see conclusions which </w:t>
      </w:r>
      <w:r w:rsidR="0035634C" w:rsidRPr="0087534D">
        <w:rPr>
          <w:iCs/>
          <w:sz w:val="22"/>
          <w:szCs w:val="22"/>
        </w:rPr>
        <w:t>confuse evidence of poor quality with no evidence</w:t>
      </w:r>
      <w:r w:rsidRPr="0087534D">
        <w:rPr>
          <w:iCs/>
          <w:sz w:val="22"/>
          <w:szCs w:val="22"/>
        </w:rPr>
        <w:t xml:space="preserve">: </w:t>
      </w:r>
    </w:p>
    <w:p w14:paraId="4A7D87A7" w14:textId="77777777" w:rsidR="00362D87" w:rsidRPr="0087534D" w:rsidRDefault="00283E3D" w:rsidP="005C1988">
      <w:pPr>
        <w:pStyle w:val="ListParagraph"/>
        <w:numPr>
          <w:ilvl w:val="0"/>
          <w:numId w:val="3"/>
        </w:numPr>
        <w:rPr>
          <w:i/>
          <w:sz w:val="22"/>
          <w:szCs w:val="22"/>
        </w:rPr>
      </w:pPr>
      <w:r w:rsidRPr="0087534D">
        <w:rPr>
          <w:i/>
          <w:sz w:val="22"/>
          <w:szCs w:val="22"/>
        </w:rPr>
        <w:t>‘There is no evidence to determine whether [intervention] has any role in the management of [condition]’</w:t>
      </w:r>
    </w:p>
    <w:p w14:paraId="4CC9E30A" w14:textId="77777777" w:rsidR="00283E3D" w:rsidRPr="0087534D" w:rsidRDefault="00283E3D" w:rsidP="00362D87">
      <w:pPr>
        <w:pStyle w:val="ListParagraph"/>
        <w:numPr>
          <w:ilvl w:val="0"/>
          <w:numId w:val="3"/>
        </w:numPr>
        <w:rPr>
          <w:i/>
          <w:sz w:val="22"/>
          <w:szCs w:val="22"/>
        </w:rPr>
      </w:pPr>
      <w:r w:rsidRPr="0087534D">
        <w:rPr>
          <w:i/>
          <w:sz w:val="22"/>
          <w:szCs w:val="22"/>
        </w:rPr>
        <w:t>‘</w:t>
      </w:r>
      <w:r w:rsidR="00D2469E" w:rsidRPr="0087534D">
        <w:rPr>
          <w:i/>
          <w:sz w:val="22"/>
          <w:szCs w:val="22"/>
        </w:rPr>
        <w:t>Due to t</w:t>
      </w:r>
      <w:r w:rsidRPr="0087534D">
        <w:rPr>
          <w:i/>
          <w:sz w:val="22"/>
          <w:szCs w:val="22"/>
        </w:rPr>
        <w:t xml:space="preserve">he </w:t>
      </w:r>
      <w:r w:rsidR="00D2469E" w:rsidRPr="0087534D">
        <w:rPr>
          <w:i/>
          <w:sz w:val="22"/>
          <w:szCs w:val="22"/>
        </w:rPr>
        <w:t xml:space="preserve">very </w:t>
      </w:r>
      <w:r w:rsidRPr="0087534D">
        <w:rPr>
          <w:i/>
          <w:sz w:val="22"/>
          <w:szCs w:val="22"/>
        </w:rPr>
        <w:t xml:space="preserve">low quality </w:t>
      </w:r>
      <w:r w:rsidR="00182A01" w:rsidRPr="0087534D">
        <w:rPr>
          <w:i/>
          <w:sz w:val="22"/>
          <w:szCs w:val="22"/>
        </w:rPr>
        <w:t>of the evidence</w:t>
      </w:r>
      <w:r w:rsidR="0035634C" w:rsidRPr="0087534D">
        <w:rPr>
          <w:i/>
          <w:sz w:val="22"/>
          <w:szCs w:val="22"/>
        </w:rPr>
        <w:t xml:space="preserve"> for our main outcomes</w:t>
      </w:r>
      <w:r w:rsidR="00AA76AA" w:rsidRPr="0087534D">
        <w:rPr>
          <w:i/>
          <w:sz w:val="22"/>
          <w:szCs w:val="22"/>
        </w:rPr>
        <w:t>,</w:t>
      </w:r>
      <w:r w:rsidR="00182A01" w:rsidRPr="0087534D">
        <w:rPr>
          <w:i/>
          <w:sz w:val="22"/>
          <w:szCs w:val="22"/>
        </w:rPr>
        <w:t xml:space="preserve"> </w:t>
      </w:r>
      <w:r w:rsidR="00D2469E" w:rsidRPr="0087534D">
        <w:rPr>
          <w:i/>
          <w:sz w:val="22"/>
          <w:szCs w:val="22"/>
        </w:rPr>
        <w:t>the effects of [intervention’ in the management of [condition]</w:t>
      </w:r>
      <w:r w:rsidR="008D7FC1" w:rsidRPr="0087534D">
        <w:rPr>
          <w:i/>
          <w:sz w:val="22"/>
          <w:szCs w:val="22"/>
        </w:rPr>
        <w:t xml:space="preserve"> are uncertain</w:t>
      </w:r>
      <w:r w:rsidR="00D2469E" w:rsidRPr="0087534D">
        <w:rPr>
          <w:i/>
          <w:sz w:val="22"/>
          <w:szCs w:val="22"/>
        </w:rPr>
        <w:t>.</w:t>
      </w:r>
    </w:p>
    <w:p w14:paraId="579F6F3A" w14:textId="77777777" w:rsidR="002D7950" w:rsidRDefault="002D7950" w:rsidP="00B73B11">
      <w:pPr>
        <w:spacing w:line="360" w:lineRule="auto"/>
        <w:rPr>
          <w:sz w:val="22"/>
          <w:szCs w:val="22"/>
        </w:rPr>
      </w:pPr>
    </w:p>
    <w:p w14:paraId="76B86B18" w14:textId="72C01F75" w:rsidR="008D5360" w:rsidRDefault="00B649CB" w:rsidP="008D5360">
      <w:pPr>
        <w:spacing w:line="360" w:lineRule="auto"/>
        <w:rPr>
          <w:sz w:val="22"/>
          <w:szCs w:val="22"/>
        </w:rPr>
      </w:pPr>
      <w:r w:rsidRPr="0087534D">
        <w:rPr>
          <w:sz w:val="22"/>
          <w:szCs w:val="22"/>
        </w:rPr>
        <w:t>I</w:t>
      </w:r>
      <w:r w:rsidR="0035634C" w:rsidRPr="0087534D">
        <w:rPr>
          <w:sz w:val="22"/>
          <w:szCs w:val="22"/>
        </w:rPr>
        <w:t xml:space="preserve">t would only strictly be accurate to state that there is no evidence when </w:t>
      </w:r>
      <w:r w:rsidR="00AA76AA" w:rsidRPr="0087534D">
        <w:rPr>
          <w:sz w:val="22"/>
          <w:szCs w:val="22"/>
        </w:rPr>
        <w:t>a review is</w:t>
      </w:r>
      <w:r w:rsidR="0035634C" w:rsidRPr="0087534D">
        <w:rPr>
          <w:sz w:val="22"/>
          <w:szCs w:val="22"/>
        </w:rPr>
        <w:t xml:space="preserve"> empty. </w:t>
      </w:r>
      <w:r w:rsidR="003D0378">
        <w:rPr>
          <w:sz w:val="22"/>
          <w:szCs w:val="22"/>
        </w:rPr>
        <w:t>T</w:t>
      </w:r>
      <w:r w:rsidR="00DF78A6" w:rsidRPr="0087534D">
        <w:rPr>
          <w:sz w:val="22"/>
          <w:szCs w:val="22"/>
        </w:rPr>
        <w:t>he second statement</w:t>
      </w:r>
      <w:r w:rsidR="003D0378">
        <w:rPr>
          <w:sz w:val="22"/>
          <w:szCs w:val="22"/>
        </w:rPr>
        <w:t xml:space="preserve"> emphasizes the </w:t>
      </w:r>
      <w:r w:rsidR="00DF78A6" w:rsidRPr="0087534D">
        <w:rPr>
          <w:sz w:val="22"/>
          <w:szCs w:val="22"/>
        </w:rPr>
        <w:t>quality</w:t>
      </w:r>
      <w:r w:rsidR="002E76AC">
        <w:rPr>
          <w:sz w:val="22"/>
          <w:szCs w:val="22"/>
        </w:rPr>
        <w:t xml:space="preserve"> of the</w:t>
      </w:r>
      <w:r w:rsidR="003D0378">
        <w:rPr>
          <w:sz w:val="22"/>
          <w:szCs w:val="22"/>
        </w:rPr>
        <w:t xml:space="preserve"> evidence and </w:t>
      </w:r>
      <w:r w:rsidR="00C52BC1">
        <w:rPr>
          <w:sz w:val="22"/>
          <w:szCs w:val="22"/>
        </w:rPr>
        <w:t xml:space="preserve">as such </w:t>
      </w:r>
      <w:r w:rsidR="003D0378">
        <w:rPr>
          <w:sz w:val="22"/>
          <w:szCs w:val="22"/>
        </w:rPr>
        <w:t xml:space="preserve">is a more accurate </w:t>
      </w:r>
      <w:r w:rsidR="00C52BC1">
        <w:rPr>
          <w:sz w:val="22"/>
          <w:szCs w:val="22"/>
        </w:rPr>
        <w:t xml:space="preserve">representation of the uncertainty arising from the very low quality of the evidence, rather than implying that there it is absent. </w:t>
      </w:r>
      <w:r w:rsidR="0035634C" w:rsidRPr="0087534D">
        <w:rPr>
          <w:sz w:val="22"/>
          <w:szCs w:val="22"/>
        </w:rPr>
        <w:t xml:space="preserve"> </w:t>
      </w:r>
    </w:p>
    <w:p w14:paraId="0B92AE4E" w14:textId="77777777" w:rsidR="008D5360" w:rsidRPr="008D5360" w:rsidRDefault="008D5360" w:rsidP="008D5360">
      <w:pPr>
        <w:spacing w:line="360" w:lineRule="auto"/>
        <w:rPr>
          <w:sz w:val="22"/>
          <w:szCs w:val="22"/>
        </w:rPr>
      </w:pPr>
    </w:p>
    <w:p w14:paraId="5C76EBED" w14:textId="77777777" w:rsidR="006A4D02" w:rsidRPr="00BF64A8" w:rsidRDefault="006A4D02" w:rsidP="00205617">
      <w:pPr>
        <w:pStyle w:val="Heading2"/>
        <w:spacing w:after="120"/>
        <w:rPr>
          <w:color w:val="1F4E79" w:themeColor="accent1" w:themeShade="80"/>
        </w:rPr>
      </w:pPr>
      <w:r w:rsidRPr="00BF64A8">
        <w:rPr>
          <w:color w:val="1F4E79" w:themeColor="accent1" w:themeShade="80"/>
        </w:rPr>
        <w:t>Further Reading</w:t>
      </w:r>
    </w:p>
    <w:p w14:paraId="5945D67D" w14:textId="77777777" w:rsidR="00821C0B" w:rsidRPr="0087534D" w:rsidRDefault="00126D92" w:rsidP="00605152">
      <w:pPr>
        <w:spacing w:line="360" w:lineRule="auto"/>
        <w:rPr>
          <w:sz w:val="22"/>
          <w:szCs w:val="22"/>
        </w:rPr>
      </w:pPr>
      <w:r w:rsidRPr="0087534D">
        <w:rPr>
          <w:sz w:val="22"/>
          <w:szCs w:val="22"/>
        </w:rPr>
        <w:t xml:space="preserve">This document does not </w:t>
      </w:r>
      <w:r w:rsidR="00821C0B" w:rsidRPr="0087534D">
        <w:rPr>
          <w:sz w:val="22"/>
          <w:szCs w:val="22"/>
        </w:rPr>
        <w:t>capture all of the detailed aspects of implementing GRADE</w:t>
      </w:r>
      <w:r w:rsidR="00FD23A7" w:rsidRPr="0087534D">
        <w:rPr>
          <w:sz w:val="22"/>
          <w:szCs w:val="22"/>
        </w:rPr>
        <w:t xml:space="preserve"> in a Cochrane Review</w:t>
      </w:r>
      <w:r w:rsidR="00821C0B" w:rsidRPr="0087534D">
        <w:rPr>
          <w:sz w:val="22"/>
          <w:szCs w:val="22"/>
        </w:rPr>
        <w:t xml:space="preserve">. </w:t>
      </w:r>
      <w:r w:rsidRPr="0087534D">
        <w:rPr>
          <w:sz w:val="22"/>
          <w:szCs w:val="22"/>
        </w:rPr>
        <w:t>More</w:t>
      </w:r>
      <w:r w:rsidR="00821C0B" w:rsidRPr="0087534D">
        <w:rPr>
          <w:sz w:val="22"/>
          <w:szCs w:val="22"/>
        </w:rPr>
        <w:t xml:space="preserve"> information about</w:t>
      </w:r>
      <w:r w:rsidR="00AA76AA" w:rsidRPr="0087534D">
        <w:rPr>
          <w:sz w:val="22"/>
          <w:szCs w:val="22"/>
        </w:rPr>
        <w:t xml:space="preserve"> GRADE methods and considerations for preparing Summary of </w:t>
      </w:r>
      <w:r w:rsidR="00AA76AA" w:rsidRPr="0087534D">
        <w:rPr>
          <w:sz w:val="22"/>
          <w:szCs w:val="22"/>
        </w:rPr>
        <w:lastRenderedPageBreak/>
        <w:t>Findings tables (</w:t>
      </w:r>
      <w:r w:rsidR="00821C0B" w:rsidRPr="0087534D">
        <w:rPr>
          <w:sz w:val="22"/>
          <w:szCs w:val="22"/>
        </w:rPr>
        <w:t>including information on presenting continuous data</w:t>
      </w:r>
      <w:r w:rsidR="00E4772F">
        <w:rPr>
          <w:sz w:val="22"/>
          <w:szCs w:val="22"/>
        </w:rPr>
        <w:t>, upgrading quality evidence,</w:t>
      </w:r>
      <w:r w:rsidR="00821C0B" w:rsidRPr="0087534D">
        <w:rPr>
          <w:sz w:val="22"/>
          <w:szCs w:val="22"/>
        </w:rPr>
        <w:t xml:space="preserve"> and selecting control group risks</w:t>
      </w:r>
      <w:r w:rsidR="00AA76AA" w:rsidRPr="0087534D">
        <w:rPr>
          <w:sz w:val="22"/>
          <w:szCs w:val="22"/>
        </w:rPr>
        <w:t>)</w:t>
      </w:r>
      <w:r w:rsidR="00821C0B" w:rsidRPr="0087534D">
        <w:rPr>
          <w:sz w:val="22"/>
          <w:szCs w:val="22"/>
        </w:rPr>
        <w:t xml:space="preserve"> can be found among the following resources:   </w:t>
      </w:r>
    </w:p>
    <w:p w14:paraId="67425FC3" w14:textId="77777777" w:rsidR="00B73B11" w:rsidRPr="0087534D" w:rsidRDefault="00AA76AA" w:rsidP="00B73B11">
      <w:pPr>
        <w:spacing w:line="360" w:lineRule="auto"/>
        <w:rPr>
          <w:sz w:val="22"/>
          <w:szCs w:val="22"/>
        </w:rPr>
      </w:pPr>
      <w:r w:rsidRPr="0087534D">
        <w:rPr>
          <w:sz w:val="22"/>
          <w:szCs w:val="22"/>
        </w:rPr>
        <w:t xml:space="preserve">Cochrane Handbook Chapter 11 (Presenting results and ‘Summary of findings’ tables): </w:t>
      </w:r>
      <w:hyperlink r:id="rId16" w:history="1">
        <w:r w:rsidRPr="0087534D">
          <w:rPr>
            <w:rStyle w:val="Hyperlink"/>
            <w:sz w:val="22"/>
            <w:szCs w:val="22"/>
          </w:rPr>
          <w:t>http://handbook.cochrane.org/chapter_11/11_presenting_results_and_summary_of_findings_tables.htm</w:t>
        </w:r>
      </w:hyperlink>
      <w:r w:rsidRPr="0087534D">
        <w:rPr>
          <w:sz w:val="22"/>
          <w:szCs w:val="22"/>
        </w:rPr>
        <w:t xml:space="preserve"> </w:t>
      </w:r>
      <w:r w:rsidR="00B73B11" w:rsidRPr="0087534D">
        <w:rPr>
          <w:sz w:val="22"/>
          <w:szCs w:val="22"/>
        </w:rPr>
        <w:t xml:space="preserve"> </w:t>
      </w:r>
    </w:p>
    <w:p w14:paraId="78609A52" w14:textId="77777777" w:rsidR="00AE2CD6" w:rsidRPr="0087534D" w:rsidRDefault="00AE2CD6" w:rsidP="00605152">
      <w:pPr>
        <w:spacing w:line="360" w:lineRule="auto"/>
        <w:rPr>
          <w:sz w:val="22"/>
          <w:szCs w:val="22"/>
        </w:rPr>
      </w:pPr>
      <w:r w:rsidRPr="0087534D">
        <w:rPr>
          <w:sz w:val="22"/>
          <w:szCs w:val="22"/>
        </w:rPr>
        <w:t xml:space="preserve">A list of publications </w:t>
      </w:r>
      <w:r w:rsidR="00821C0B" w:rsidRPr="0087534D">
        <w:rPr>
          <w:sz w:val="22"/>
          <w:szCs w:val="22"/>
        </w:rPr>
        <w:t xml:space="preserve">introducing </w:t>
      </w:r>
      <w:r w:rsidRPr="0087534D">
        <w:rPr>
          <w:sz w:val="22"/>
          <w:szCs w:val="22"/>
        </w:rPr>
        <w:t xml:space="preserve">GRADE: </w:t>
      </w:r>
      <w:hyperlink r:id="rId17" w:history="1">
        <w:r w:rsidRPr="0087534D">
          <w:rPr>
            <w:rStyle w:val="Hyperlink"/>
            <w:sz w:val="22"/>
            <w:szCs w:val="22"/>
          </w:rPr>
          <w:t>http://www.gradeworkinggroup.org/publications/</w:t>
        </w:r>
      </w:hyperlink>
    </w:p>
    <w:p w14:paraId="2D0D3DDE" w14:textId="77777777" w:rsidR="00AE2CD6" w:rsidRPr="0087534D" w:rsidRDefault="00821C0B" w:rsidP="00605152">
      <w:pPr>
        <w:spacing w:line="360" w:lineRule="auto"/>
        <w:rPr>
          <w:sz w:val="22"/>
          <w:szCs w:val="22"/>
        </w:rPr>
      </w:pPr>
      <w:r w:rsidRPr="0087534D">
        <w:rPr>
          <w:sz w:val="22"/>
          <w:szCs w:val="22"/>
        </w:rPr>
        <w:t xml:space="preserve">The 2011 series of articles about GRADE in the Journal of Clinical Epidemiology (free access): </w:t>
      </w:r>
      <w:hyperlink r:id="rId18" w:history="1">
        <w:r w:rsidRPr="0087534D">
          <w:rPr>
            <w:rStyle w:val="Hyperlink"/>
            <w:sz w:val="22"/>
            <w:szCs w:val="22"/>
          </w:rPr>
          <w:t>http://www.gradeworkinggroup.org/publications/JCE_series.htm</w:t>
        </w:r>
      </w:hyperlink>
      <w:r w:rsidRPr="0087534D">
        <w:rPr>
          <w:sz w:val="22"/>
          <w:szCs w:val="22"/>
        </w:rPr>
        <w:t xml:space="preserve">  </w:t>
      </w:r>
    </w:p>
    <w:p w14:paraId="700B2DB6" w14:textId="77777777" w:rsidR="00821C0B" w:rsidRPr="0087534D" w:rsidRDefault="00821C0B" w:rsidP="00605152">
      <w:pPr>
        <w:spacing w:line="360" w:lineRule="auto"/>
        <w:rPr>
          <w:sz w:val="22"/>
          <w:szCs w:val="22"/>
        </w:rPr>
      </w:pPr>
      <w:r w:rsidRPr="0087534D">
        <w:rPr>
          <w:sz w:val="22"/>
          <w:szCs w:val="22"/>
        </w:rPr>
        <w:t xml:space="preserve">Schedule of webinars and workshops: </w:t>
      </w:r>
      <w:hyperlink r:id="rId19" w:history="1">
        <w:r w:rsidRPr="0087534D">
          <w:rPr>
            <w:rStyle w:val="Hyperlink"/>
            <w:sz w:val="22"/>
            <w:szCs w:val="22"/>
          </w:rPr>
          <w:t>http://www.gradeworkinggroup.org/news.htm</w:t>
        </w:r>
      </w:hyperlink>
      <w:r w:rsidRPr="0087534D">
        <w:rPr>
          <w:sz w:val="22"/>
          <w:szCs w:val="22"/>
        </w:rPr>
        <w:t xml:space="preserve"> </w:t>
      </w:r>
    </w:p>
    <w:p w14:paraId="77E58491" w14:textId="77777777" w:rsidR="0052369F" w:rsidRPr="0087534D" w:rsidRDefault="00821C0B" w:rsidP="00605152">
      <w:pPr>
        <w:spacing w:line="360" w:lineRule="auto"/>
        <w:rPr>
          <w:rStyle w:val="Hyperlink"/>
        </w:rPr>
      </w:pPr>
      <w:r w:rsidRPr="0087534D">
        <w:rPr>
          <w:sz w:val="22"/>
          <w:szCs w:val="22"/>
        </w:rPr>
        <w:t xml:space="preserve">Software for generating GRADE Evidence Profiles and Summary of Findings tables: </w:t>
      </w:r>
    </w:p>
    <w:p w14:paraId="3B1BACC8" w14:textId="77777777" w:rsidR="00821C0B" w:rsidRPr="0087534D" w:rsidRDefault="00AB18C8" w:rsidP="00605152">
      <w:pPr>
        <w:spacing w:line="360" w:lineRule="auto"/>
        <w:rPr>
          <w:sz w:val="22"/>
          <w:szCs w:val="22"/>
        </w:rPr>
      </w:pPr>
      <w:hyperlink r:id="rId20" w:history="1">
        <w:r w:rsidR="0052369F" w:rsidRPr="0087534D">
          <w:rPr>
            <w:rStyle w:val="Hyperlink"/>
            <w:sz w:val="22"/>
            <w:szCs w:val="22"/>
          </w:rPr>
          <w:t>http://tech.cochrane.org/revman/gradepro</w:t>
        </w:r>
      </w:hyperlink>
      <w:r w:rsidR="0052369F" w:rsidRPr="0087534D">
        <w:rPr>
          <w:sz w:val="22"/>
          <w:szCs w:val="22"/>
        </w:rPr>
        <w:t xml:space="preserve"> </w:t>
      </w:r>
      <w:hyperlink r:id="rId21" w:history="1"/>
      <w:r w:rsidR="00821C0B" w:rsidRPr="0087534D">
        <w:rPr>
          <w:sz w:val="22"/>
          <w:szCs w:val="22"/>
        </w:rPr>
        <w:t xml:space="preserve"> </w:t>
      </w:r>
    </w:p>
    <w:sectPr w:rsidR="00821C0B" w:rsidRPr="0087534D" w:rsidSect="007B6F0E">
      <w:headerReference w:type="even" r:id="rId22"/>
      <w:headerReference w:type="default" r:id="rId23"/>
      <w:headerReference w:type="first" r:id="rId2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8BE55" w14:textId="77777777" w:rsidR="00AB18C8" w:rsidRDefault="00AB18C8" w:rsidP="0087534D">
      <w:pPr>
        <w:spacing w:after="0" w:line="240" w:lineRule="auto"/>
      </w:pPr>
      <w:r>
        <w:separator/>
      </w:r>
    </w:p>
  </w:endnote>
  <w:endnote w:type="continuationSeparator" w:id="0">
    <w:p w14:paraId="75FC4B7C" w14:textId="77777777" w:rsidR="00AB18C8" w:rsidRDefault="00AB18C8" w:rsidP="008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75B37" w14:textId="77777777" w:rsidR="00AB18C8" w:rsidRDefault="00AB18C8" w:rsidP="0087534D">
      <w:pPr>
        <w:spacing w:after="0" w:line="240" w:lineRule="auto"/>
      </w:pPr>
      <w:r>
        <w:separator/>
      </w:r>
    </w:p>
  </w:footnote>
  <w:footnote w:type="continuationSeparator" w:id="0">
    <w:p w14:paraId="1590CD5C" w14:textId="77777777" w:rsidR="00AB18C8" w:rsidRDefault="00AB18C8" w:rsidP="00875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3A0AD" w14:textId="351A329C" w:rsidR="00B56A61" w:rsidRDefault="00B56A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325959"/>
      <w:docPartObj>
        <w:docPartGallery w:val="Page Numbers (Top of Page)"/>
        <w:docPartUnique/>
      </w:docPartObj>
    </w:sdtPr>
    <w:sdtEndPr>
      <w:rPr>
        <w:noProof/>
      </w:rPr>
    </w:sdtEndPr>
    <w:sdtContent>
      <w:p w14:paraId="2E559129" w14:textId="7A19D55A" w:rsidR="00234843" w:rsidRDefault="00234843">
        <w:pPr>
          <w:pStyle w:val="Header"/>
          <w:jc w:val="right"/>
        </w:pPr>
        <w:r>
          <w:fldChar w:fldCharType="begin"/>
        </w:r>
        <w:r>
          <w:instrText xml:space="preserve"> PAGE   \* MERGEFORMAT </w:instrText>
        </w:r>
        <w:r>
          <w:fldChar w:fldCharType="separate"/>
        </w:r>
        <w:r w:rsidR="00064E2A">
          <w:rPr>
            <w:noProof/>
          </w:rPr>
          <w:t>2</w:t>
        </w:r>
        <w:r>
          <w:rPr>
            <w:noProof/>
          </w:rPr>
          <w:fldChar w:fldCharType="end"/>
        </w:r>
      </w:p>
    </w:sdtContent>
  </w:sdt>
  <w:p w14:paraId="031D1176" w14:textId="491466E9" w:rsidR="00B56A61" w:rsidRDefault="00B56A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E32BD" w14:textId="36A6B929" w:rsidR="00B56A61" w:rsidRDefault="00B56A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B0840"/>
    <w:multiLevelType w:val="hybridMultilevel"/>
    <w:tmpl w:val="2006F70A"/>
    <w:lvl w:ilvl="0" w:tplc="01E85840">
      <w:start w:val="1"/>
      <w:numFmt w:val="decimal"/>
      <w:lvlText w:val="%1."/>
      <w:lvlJc w:val="left"/>
      <w:pPr>
        <w:ind w:left="360" w:hanging="360"/>
      </w:pPr>
      <w:rPr>
        <w:rFonts w:asciiTheme="minorHAnsi" w:hAnsiTheme="minorHAnsi" w:hint="default"/>
        <w:b w:val="0"/>
        <w:color w:val="1F4E79" w:themeColor="accent1" w:themeShade="80"/>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28C71EF"/>
    <w:multiLevelType w:val="hybridMultilevel"/>
    <w:tmpl w:val="5BD20A8A"/>
    <w:lvl w:ilvl="0" w:tplc="3E1E904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EBF32F6"/>
    <w:multiLevelType w:val="hybridMultilevel"/>
    <w:tmpl w:val="E09C5A24"/>
    <w:lvl w:ilvl="0" w:tplc="960A96AA">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620644D"/>
    <w:multiLevelType w:val="hybridMultilevel"/>
    <w:tmpl w:val="4F6098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8DD58F4"/>
    <w:multiLevelType w:val="hybridMultilevel"/>
    <w:tmpl w:val="9902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3811B7"/>
    <w:multiLevelType w:val="hybridMultilevel"/>
    <w:tmpl w:val="BDDAFB1C"/>
    <w:lvl w:ilvl="0" w:tplc="0EE83C3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0152C04"/>
    <w:multiLevelType w:val="hybridMultilevel"/>
    <w:tmpl w:val="FF1C586A"/>
    <w:lvl w:ilvl="0" w:tplc="3E1E904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5B864C3"/>
    <w:multiLevelType w:val="hybridMultilevel"/>
    <w:tmpl w:val="6A6C2EEA"/>
    <w:lvl w:ilvl="0" w:tplc="3F1A2BD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0"/>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0C"/>
    <w:rsid w:val="000017DF"/>
    <w:rsid w:val="00001839"/>
    <w:rsid w:val="00001B39"/>
    <w:rsid w:val="00001C74"/>
    <w:rsid w:val="000028FF"/>
    <w:rsid w:val="00002FA4"/>
    <w:rsid w:val="000062C3"/>
    <w:rsid w:val="00006708"/>
    <w:rsid w:val="00013288"/>
    <w:rsid w:val="0001516A"/>
    <w:rsid w:val="00020949"/>
    <w:rsid w:val="00023462"/>
    <w:rsid w:val="0003744F"/>
    <w:rsid w:val="00037539"/>
    <w:rsid w:val="000379D4"/>
    <w:rsid w:val="00040138"/>
    <w:rsid w:val="00040971"/>
    <w:rsid w:val="0004250C"/>
    <w:rsid w:val="000432D9"/>
    <w:rsid w:val="000506AA"/>
    <w:rsid w:val="000544BC"/>
    <w:rsid w:val="00057DBC"/>
    <w:rsid w:val="00060D76"/>
    <w:rsid w:val="00064E2A"/>
    <w:rsid w:val="0006673B"/>
    <w:rsid w:val="0007103C"/>
    <w:rsid w:val="000771AB"/>
    <w:rsid w:val="00083EDC"/>
    <w:rsid w:val="00084D4F"/>
    <w:rsid w:val="00090876"/>
    <w:rsid w:val="00090C44"/>
    <w:rsid w:val="000A4417"/>
    <w:rsid w:val="000A68CE"/>
    <w:rsid w:val="000B5A4F"/>
    <w:rsid w:val="000C08D4"/>
    <w:rsid w:val="000C1326"/>
    <w:rsid w:val="000C232C"/>
    <w:rsid w:val="000C3C71"/>
    <w:rsid w:val="000C3FAD"/>
    <w:rsid w:val="000C68BD"/>
    <w:rsid w:val="000D56CB"/>
    <w:rsid w:val="000D5E58"/>
    <w:rsid w:val="000E0FE0"/>
    <w:rsid w:val="000E107B"/>
    <w:rsid w:val="000E3CBD"/>
    <w:rsid w:val="000E55DC"/>
    <w:rsid w:val="000E6523"/>
    <w:rsid w:val="000E6598"/>
    <w:rsid w:val="000E70EC"/>
    <w:rsid w:val="000E71BC"/>
    <w:rsid w:val="000F0E7F"/>
    <w:rsid w:val="000F5C8A"/>
    <w:rsid w:val="000F7CDC"/>
    <w:rsid w:val="001000E8"/>
    <w:rsid w:val="001027FB"/>
    <w:rsid w:val="001042AB"/>
    <w:rsid w:val="001051BA"/>
    <w:rsid w:val="001051DB"/>
    <w:rsid w:val="00110CAF"/>
    <w:rsid w:val="00116107"/>
    <w:rsid w:val="00117C00"/>
    <w:rsid w:val="0012385B"/>
    <w:rsid w:val="00126D92"/>
    <w:rsid w:val="00130B6D"/>
    <w:rsid w:val="00132E53"/>
    <w:rsid w:val="001362E5"/>
    <w:rsid w:val="00142F08"/>
    <w:rsid w:val="0014382B"/>
    <w:rsid w:val="00143C59"/>
    <w:rsid w:val="00143FE9"/>
    <w:rsid w:val="00147DE2"/>
    <w:rsid w:val="00151090"/>
    <w:rsid w:val="00152026"/>
    <w:rsid w:val="00154469"/>
    <w:rsid w:val="0016106B"/>
    <w:rsid w:val="00162111"/>
    <w:rsid w:val="00165356"/>
    <w:rsid w:val="0017091A"/>
    <w:rsid w:val="001714E2"/>
    <w:rsid w:val="001717AA"/>
    <w:rsid w:val="001728F9"/>
    <w:rsid w:val="001770D6"/>
    <w:rsid w:val="001811FE"/>
    <w:rsid w:val="00182A01"/>
    <w:rsid w:val="00182ED4"/>
    <w:rsid w:val="00183DAC"/>
    <w:rsid w:val="00194F16"/>
    <w:rsid w:val="001953A4"/>
    <w:rsid w:val="00195737"/>
    <w:rsid w:val="001A1271"/>
    <w:rsid w:val="001A1B08"/>
    <w:rsid w:val="001A4FE7"/>
    <w:rsid w:val="001A51FE"/>
    <w:rsid w:val="001B1FD5"/>
    <w:rsid w:val="001B2ADF"/>
    <w:rsid w:val="001B6CE3"/>
    <w:rsid w:val="001B7D9A"/>
    <w:rsid w:val="001C0B03"/>
    <w:rsid w:val="001C289F"/>
    <w:rsid w:val="001C30CC"/>
    <w:rsid w:val="001C7062"/>
    <w:rsid w:val="001C7251"/>
    <w:rsid w:val="001D19B4"/>
    <w:rsid w:val="001D3874"/>
    <w:rsid w:val="001D5C5D"/>
    <w:rsid w:val="001E54DF"/>
    <w:rsid w:val="001E7175"/>
    <w:rsid w:val="001E7871"/>
    <w:rsid w:val="001F2396"/>
    <w:rsid w:val="001F4A93"/>
    <w:rsid w:val="001F6A36"/>
    <w:rsid w:val="00203DEF"/>
    <w:rsid w:val="00205617"/>
    <w:rsid w:val="00206409"/>
    <w:rsid w:val="002065B2"/>
    <w:rsid w:val="0021098D"/>
    <w:rsid w:val="00215860"/>
    <w:rsid w:val="002232A5"/>
    <w:rsid w:val="00226046"/>
    <w:rsid w:val="00231738"/>
    <w:rsid w:val="00234843"/>
    <w:rsid w:val="00236282"/>
    <w:rsid w:val="00236ED9"/>
    <w:rsid w:val="002400BD"/>
    <w:rsid w:val="00246A87"/>
    <w:rsid w:val="002509D5"/>
    <w:rsid w:val="00252B0C"/>
    <w:rsid w:val="0025413C"/>
    <w:rsid w:val="00255949"/>
    <w:rsid w:val="00264077"/>
    <w:rsid w:val="00264786"/>
    <w:rsid w:val="00271B45"/>
    <w:rsid w:val="00271EAE"/>
    <w:rsid w:val="00272369"/>
    <w:rsid w:val="0027245B"/>
    <w:rsid w:val="0028026D"/>
    <w:rsid w:val="0028034C"/>
    <w:rsid w:val="00282642"/>
    <w:rsid w:val="0028356E"/>
    <w:rsid w:val="00283E3D"/>
    <w:rsid w:val="0029191B"/>
    <w:rsid w:val="00292B1B"/>
    <w:rsid w:val="00293FFC"/>
    <w:rsid w:val="0029673F"/>
    <w:rsid w:val="002A04EC"/>
    <w:rsid w:val="002A118B"/>
    <w:rsid w:val="002A19CE"/>
    <w:rsid w:val="002A299A"/>
    <w:rsid w:val="002A4169"/>
    <w:rsid w:val="002A4283"/>
    <w:rsid w:val="002A5228"/>
    <w:rsid w:val="002B0442"/>
    <w:rsid w:val="002B3007"/>
    <w:rsid w:val="002B5EF5"/>
    <w:rsid w:val="002B7731"/>
    <w:rsid w:val="002B79AC"/>
    <w:rsid w:val="002C1F0C"/>
    <w:rsid w:val="002C4F9D"/>
    <w:rsid w:val="002C6242"/>
    <w:rsid w:val="002D008F"/>
    <w:rsid w:val="002D2F35"/>
    <w:rsid w:val="002D52CF"/>
    <w:rsid w:val="002D6BBE"/>
    <w:rsid w:val="002D7632"/>
    <w:rsid w:val="002D7950"/>
    <w:rsid w:val="002E064D"/>
    <w:rsid w:val="002E4F4C"/>
    <w:rsid w:val="002E76AC"/>
    <w:rsid w:val="002F2544"/>
    <w:rsid w:val="002F3644"/>
    <w:rsid w:val="002F6690"/>
    <w:rsid w:val="002F6D82"/>
    <w:rsid w:val="00301463"/>
    <w:rsid w:val="003034D7"/>
    <w:rsid w:val="00307DA7"/>
    <w:rsid w:val="0031310F"/>
    <w:rsid w:val="00315457"/>
    <w:rsid w:val="00315464"/>
    <w:rsid w:val="00317206"/>
    <w:rsid w:val="0031728F"/>
    <w:rsid w:val="003173B7"/>
    <w:rsid w:val="00320F41"/>
    <w:rsid w:val="003213F6"/>
    <w:rsid w:val="00322F00"/>
    <w:rsid w:val="00327CF6"/>
    <w:rsid w:val="00330F42"/>
    <w:rsid w:val="00332FBA"/>
    <w:rsid w:val="00333DD5"/>
    <w:rsid w:val="003362ED"/>
    <w:rsid w:val="003371AA"/>
    <w:rsid w:val="00341665"/>
    <w:rsid w:val="0034235A"/>
    <w:rsid w:val="00342D60"/>
    <w:rsid w:val="0034517E"/>
    <w:rsid w:val="003466DE"/>
    <w:rsid w:val="00347F2F"/>
    <w:rsid w:val="00350992"/>
    <w:rsid w:val="00350CD1"/>
    <w:rsid w:val="00354152"/>
    <w:rsid w:val="0035634C"/>
    <w:rsid w:val="003606D3"/>
    <w:rsid w:val="0036087A"/>
    <w:rsid w:val="00362D87"/>
    <w:rsid w:val="00374303"/>
    <w:rsid w:val="00380040"/>
    <w:rsid w:val="003800A5"/>
    <w:rsid w:val="0038264A"/>
    <w:rsid w:val="00383846"/>
    <w:rsid w:val="00383EDE"/>
    <w:rsid w:val="00384818"/>
    <w:rsid w:val="00385BE2"/>
    <w:rsid w:val="003866C1"/>
    <w:rsid w:val="00390560"/>
    <w:rsid w:val="003A6E77"/>
    <w:rsid w:val="003A742E"/>
    <w:rsid w:val="003B176A"/>
    <w:rsid w:val="003B6039"/>
    <w:rsid w:val="003B647C"/>
    <w:rsid w:val="003C06ED"/>
    <w:rsid w:val="003C1404"/>
    <w:rsid w:val="003C4117"/>
    <w:rsid w:val="003C4AF0"/>
    <w:rsid w:val="003C684F"/>
    <w:rsid w:val="003C6AE8"/>
    <w:rsid w:val="003D0378"/>
    <w:rsid w:val="003D0E4E"/>
    <w:rsid w:val="003E21D3"/>
    <w:rsid w:val="003E42C5"/>
    <w:rsid w:val="003E6A40"/>
    <w:rsid w:val="003E76E8"/>
    <w:rsid w:val="003F2234"/>
    <w:rsid w:val="003F2547"/>
    <w:rsid w:val="003F3DC6"/>
    <w:rsid w:val="003F50AA"/>
    <w:rsid w:val="003F543B"/>
    <w:rsid w:val="003F5A1F"/>
    <w:rsid w:val="003F5FFF"/>
    <w:rsid w:val="003F63C6"/>
    <w:rsid w:val="003F6AD2"/>
    <w:rsid w:val="003F7BEB"/>
    <w:rsid w:val="004023C0"/>
    <w:rsid w:val="0040683B"/>
    <w:rsid w:val="004132FA"/>
    <w:rsid w:val="0041783A"/>
    <w:rsid w:val="00421E19"/>
    <w:rsid w:val="004243B3"/>
    <w:rsid w:val="00424699"/>
    <w:rsid w:val="00424BB2"/>
    <w:rsid w:val="004315E5"/>
    <w:rsid w:val="004319EA"/>
    <w:rsid w:val="0043563C"/>
    <w:rsid w:val="00435A4B"/>
    <w:rsid w:val="0043603F"/>
    <w:rsid w:val="004360E8"/>
    <w:rsid w:val="00436C2F"/>
    <w:rsid w:val="00442259"/>
    <w:rsid w:val="00442FE7"/>
    <w:rsid w:val="00444241"/>
    <w:rsid w:val="00447DD5"/>
    <w:rsid w:val="0045440A"/>
    <w:rsid w:val="00464DB7"/>
    <w:rsid w:val="00470289"/>
    <w:rsid w:val="004715C1"/>
    <w:rsid w:val="00471BE9"/>
    <w:rsid w:val="00474C22"/>
    <w:rsid w:val="00481E59"/>
    <w:rsid w:val="00486EBB"/>
    <w:rsid w:val="00487D6C"/>
    <w:rsid w:val="00491E16"/>
    <w:rsid w:val="0049434E"/>
    <w:rsid w:val="00495355"/>
    <w:rsid w:val="004954AD"/>
    <w:rsid w:val="004965F7"/>
    <w:rsid w:val="004979D4"/>
    <w:rsid w:val="00497EBA"/>
    <w:rsid w:val="004A2041"/>
    <w:rsid w:val="004A491B"/>
    <w:rsid w:val="004A562A"/>
    <w:rsid w:val="004A5A0B"/>
    <w:rsid w:val="004B797C"/>
    <w:rsid w:val="004C4C60"/>
    <w:rsid w:val="004C5464"/>
    <w:rsid w:val="004C581D"/>
    <w:rsid w:val="004C6ABB"/>
    <w:rsid w:val="004C6C73"/>
    <w:rsid w:val="004D059F"/>
    <w:rsid w:val="004D141F"/>
    <w:rsid w:val="004D1516"/>
    <w:rsid w:val="004D18F7"/>
    <w:rsid w:val="004D6480"/>
    <w:rsid w:val="004D6B77"/>
    <w:rsid w:val="004D7932"/>
    <w:rsid w:val="004E4855"/>
    <w:rsid w:val="004E4BF9"/>
    <w:rsid w:val="004F2F5B"/>
    <w:rsid w:val="004F47AE"/>
    <w:rsid w:val="004F5B2B"/>
    <w:rsid w:val="004F6998"/>
    <w:rsid w:val="004F78DD"/>
    <w:rsid w:val="004F7E9C"/>
    <w:rsid w:val="00502392"/>
    <w:rsid w:val="00502D47"/>
    <w:rsid w:val="005032D5"/>
    <w:rsid w:val="00510BA8"/>
    <w:rsid w:val="0051437D"/>
    <w:rsid w:val="00514FE0"/>
    <w:rsid w:val="005234A3"/>
    <w:rsid w:val="0052369F"/>
    <w:rsid w:val="00531EE4"/>
    <w:rsid w:val="00532F3D"/>
    <w:rsid w:val="00534E25"/>
    <w:rsid w:val="0053664C"/>
    <w:rsid w:val="00537940"/>
    <w:rsid w:val="0054103F"/>
    <w:rsid w:val="0054262C"/>
    <w:rsid w:val="005438D6"/>
    <w:rsid w:val="00543D02"/>
    <w:rsid w:val="0054408C"/>
    <w:rsid w:val="005457CF"/>
    <w:rsid w:val="00547955"/>
    <w:rsid w:val="005479FC"/>
    <w:rsid w:val="00547B82"/>
    <w:rsid w:val="005513D9"/>
    <w:rsid w:val="0055443D"/>
    <w:rsid w:val="005557DB"/>
    <w:rsid w:val="0055797E"/>
    <w:rsid w:val="00561963"/>
    <w:rsid w:val="00561F82"/>
    <w:rsid w:val="0057575B"/>
    <w:rsid w:val="00583C41"/>
    <w:rsid w:val="0058411B"/>
    <w:rsid w:val="00585A91"/>
    <w:rsid w:val="00586747"/>
    <w:rsid w:val="005903CA"/>
    <w:rsid w:val="005940A1"/>
    <w:rsid w:val="00595C54"/>
    <w:rsid w:val="005962DC"/>
    <w:rsid w:val="005A17FC"/>
    <w:rsid w:val="005A21AA"/>
    <w:rsid w:val="005A26C7"/>
    <w:rsid w:val="005A31B6"/>
    <w:rsid w:val="005A37DB"/>
    <w:rsid w:val="005A67B4"/>
    <w:rsid w:val="005B0ED8"/>
    <w:rsid w:val="005B25BC"/>
    <w:rsid w:val="005B66D3"/>
    <w:rsid w:val="005B78E9"/>
    <w:rsid w:val="005C17A8"/>
    <w:rsid w:val="005C1988"/>
    <w:rsid w:val="005C2633"/>
    <w:rsid w:val="005C486F"/>
    <w:rsid w:val="005C5E99"/>
    <w:rsid w:val="005C6EF6"/>
    <w:rsid w:val="005C7636"/>
    <w:rsid w:val="005D012F"/>
    <w:rsid w:val="005D2FA4"/>
    <w:rsid w:val="005D5C16"/>
    <w:rsid w:val="005E194B"/>
    <w:rsid w:val="005E3126"/>
    <w:rsid w:val="005E3D52"/>
    <w:rsid w:val="005E3D8B"/>
    <w:rsid w:val="005F17FA"/>
    <w:rsid w:val="005F24BE"/>
    <w:rsid w:val="005F2F43"/>
    <w:rsid w:val="005F7AF3"/>
    <w:rsid w:val="00602933"/>
    <w:rsid w:val="00605152"/>
    <w:rsid w:val="0060620A"/>
    <w:rsid w:val="0060724C"/>
    <w:rsid w:val="00607657"/>
    <w:rsid w:val="00613A37"/>
    <w:rsid w:val="006140DA"/>
    <w:rsid w:val="00616329"/>
    <w:rsid w:val="00621940"/>
    <w:rsid w:val="00621BA3"/>
    <w:rsid w:val="00622877"/>
    <w:rsid w:val="00622AC1"/>
    <w:rsid w:val="006255F2"/>
    <w:rsid w:val="00632EDC"/>
    <w:rsid w:val="00634710"/>
    <w:rsid w:val="00637227"/>
    <w:rsid w:val="00640E26"/>
    <w:rsid w:val="006412E2"/>
    <w:rsid w:val="00642A25"/>
    <w:rsid w:val="006509BD"/>
    <w:rsid w:val="006512C3"/>
    <w:rsid w:val="00654D03"/>
    <w:rsid w:val="00666C92"/>
    <w:rsid w:val="00666D32"/>
    <w:rsid w:val="006706FD"/>
    <w:rsid w:val="00670F37"/>
    <w:rsid w:val="006725E2"/>
    <w:rsid w:val="0067343B"/>
    <w:rsid w:val="00673844"/>
    <w:rsid w:val="00680348"/>
    <w:rsid w:val="00680776"/>
    <w:rsid w:val="006837C9"/>
    <w:rsid w:val="006907A7"/>
    <w:rsid w:val="00691D16"/>
    <w:rsid w:val="006966D8"/>
    <w:rsid w:val="006A17F3"/>
    <w:rsid w:val="006A1A77"/>
    <w:rsid w:val="006A2A08"/>
    <w:rsid w:val="006A2A43"/>
    <w:rsid w:val="006A3179"/>
    <w:rsid w:val="006A4D02"/>
    <w:rsid w:val="006B0A36"/>
    <w:rsid w:val="006B1D1A"/>
    <w:rsid w:val="006B775E"/>
    <w:rsid w:val="006C1BDA"/>
    <w:rsid w:val="006C6690"/>
    <w:rsid w:val="006C66CC"/>
    <w:rsid w:val="006D15D4"/>
    <w:rsid w:val="006D3823"/>
    <w:rsid w:val="006D6D98"/>
    <w:rsid w:val="006D6F66"/>
    <w:rsid w:val="006E1F77"/>
    <w:rsid w:val="006F10C8"/>
    <w:rsid w:val="006F14D2"/>
    <w:rsid w:val="006F40E3"/>
    <w:rsid w:val="006F67F3"/>
    <w:rsid w:val="00702D16"/>
    <w:rsid w:val="00702DA3"/>
    <w:rsid w:val="00703B52"/>
    <w:rsid w:val="00710A81"/>
    <w:rsid w:val="00711722"/>
    <w:rsid w:val="00713F26"/>
    <w:rsid w:val="00717243"/>
    <w:rsid w:val="007179EB"/>
    <w:rsid w:val="00721904"/>
    <w:rsid w:val="0072370F"/>
    <w:rsid w:val="00725748"/>
    <w:rsid w:val="00734375"/>
    <w:rsid w:val="007370BF"/>
    <w:rsid w:val="0073772C"/>
    <w:rsid w:val="00737FCF"/>
    <w:rsid w:val="00740B12"/>
    <w:rsid w:val="00750BD6"/>
    <w:rsid w:val="00753E2F"/>
    <w:rsid w:val="007559A2"/>
    <w:rsid w:val="00763F91"/>
    <w:rsid w:val="0076772B"/>
    <w:rsid w:val="007715A6"/>
    <w:rsid w:val="00771F7B"/>
    <w:rsid w:val="00774AEE"/>
    <w:rsid w:val="0077577F"/>
    <w:rsid w:val="00777563"/>
    <w:rsid w:val="00781980"/>
    <w:rsid w:val="00781BA7"/>
    <w:rsid w:val="00783702"/>
    <w:rsid w:val="00786712"/>
    <w:rsid w:val="00790D58"/>
    <w:rsid w:val="00792667"/>
    <w:rsid w:val="0079296F"/>
    <w:rsid w:val="00795610"/>
    <w:rsid w:val="007A131E"/>
    <w:rsid w:val="007A31C8"/>
    <w:rsid w:val="007A468E"/>
    <w:rsid w:val="007A625C"/>
    <w:rsid w:val="007A79D6"/>
    <w:rsid w:val="007B01AC"/>
    <w:rsid w:val="007B2D84"/>
    <w:rsid w:val="007B6F0E"/>
    <w:rsid w:val="007C22DF"/>
    <w:rsid w:val="007C271E"/>
    <w:rsid w:val="007C2853"/>
    <w:rsid w:val="007C48F9"/>
    <w:rsid w:val="007C5C75"/>
    <w:rsid w:val="007C64B6"/>
    <w:rsid w:val="007C705D"/>
    <w:rsid w:val="007C7D30"/>
    <w:rsid w:val="007D28F8"/>
    <w:rsid w:val="007D2953"/>
    <w:rsid w:val="007D46A1"/>
    <w:rsid w:val="007D7447"/>
    <w:rsid w:val="007E05AD"/>
    <w:rsid w:val="007E0F01"/>
    <w:rsid w:val="007E66B9"/>
    <w:rsid w:val="007E6E69"/>
    <w:rsid w:val="007F07F9"/>
    <w:rsid w:val="007F242F"/>
    <w:rsid w:val="007F5348"/>
    <w:rsid w:val="007F61F8"/>
    <w:rsid w:val="007F6C66"/>
    <w:rsid w:val="007F7FBF"/>
    <w:rsid w:val="008017C7"/>
    <w:rsid w:val="008025CC"/>
    <w:rsid w:val="00802A13"/>
    <w:rsid w:val="00803BB5"/>
    <w:rsid w:val="008065F9"/>
    <w:rsid w:val="008072E6"/>
    <w:rsid w:val="00815564"/>
    <w:rsid w:val="008159B8"/>
    <w:rsid w:val="0081697D"/>
    <w:rsid w:val="00817B8A"/>
    <w:rsid w:val="0082013B"/>
    <w:rsid w:val="00821C0B"/>
    <w:rsid w:val="008229E8"/>
    <w:rsid w:val="00823490"/>
    <w:rsid w:val="00825955"/>
    <w:rsid w:val="00830CC8"/>
    <w:rsid w:val="00831144"/>
    <w:rsid w:val="00840959"/>
    <w:rsid w:val="00846B69"/>
    <w:rsid w:val="00851342"/>
    <w:rsid w:val="00854A88"/>
    <w:rsid w:val="00857D2D"/>
    <w:rsid w:val="00857FDF"/>
    <w:rsid w:val="008624B2"/>
    <w:rsid w:val="0086262D"/>
    <w:rsid w:val="00864520"/>
    <w:rsid w:val="00873B88"/>
    <w:rsid w:val="0087534D"/>
    <w:rsid w:val="00875BF2"/>
    <w:rsid w:val="008810C0"/>
    <w:rsid w:val="008811D0"/>
    <w:rsid w:val="0088232F"/>
    <w:rsid w:val="00883405"/>
    <w:rsid w:val="0088777B"/>
    <w:rsid w:val="00892D06"/>
    <w:rsid w:val="00893AF4"/>
    <w:rsid w:val="00894BAD"/>
    <w:rsid w:val="00894D76"/>
    <w:rsid w:val="00897B23"/>
    <w:rsid w:val="008A027A"/>
    <w:rsid w:val="008A4D4F"/>
    <w:rsid w:val="008A5D79"/>
    <w:rsid w:val="008A6652"/>
    <w:rsid w:val="008A6745"/>
    <w:rsid w:val="008A7322"/>
    <w:rsid w:val="008B0F8F"/>
    <w:rsid w:val="008B2839"/>
    <w:rsid w:val="008B3BD1"/>
    <w:rsid w:val="008C08AD"/>
    <w:rsid w:val="008C2ABA"/>
    <w:rsid w:val="008C3D1F"/>
    <w:rsid w:val="008D5360"/>
    <w:rsid w:val="008D7FC1"/>
    <w:rsid w:val="008E0C0B"/>
    <w:rsid w:val="008E0D50"/>
    <w:rsid w:val="008E1AEC"/>
    <w:rsid w:val="008E27C9"/>
    <w:rsid w:val="008E2AEC"/>
    <w:rsid w:val="008E36EC"/>
    <w:rsid w:val="008E5A92"/>
    <w:rsid w:val="008E6D44"/>
    <w:rsid w:val="008F0801"/>
    <w:rsid w:val="008F57AB"/>
    <w:rsid w:val="008F65F4"/>
    <w:rsid w:val="0090011A"/>
    <w:rsid w:val="00900B3D"/>
    <w:rsid w:val="00903ED1"/>
    <w:rsid w:val="009060F5"/>
    <w:rsid w:val="00910F12"/>
    <w:rsid w:val="009112E7"/>
    <w:rsid w:val="00913948"/>
    <w:rsid w:val="0091754A"/>
    <w:rsid w:val="0092380A"/>
    <w:rsid w:val="00926271"/>
    <w:rsid w:val="00930AAE"/>
    <w:rsid w:val="00932298"/>
    <w:rsid w:val="00933C52"/>
    <w:rsid w:val="00944A61"/>
    <w:rsid w:val="0095021D"/>
    <w:rsid w:val="00950894"/>
    <w:rsid w:val="009519E4"/>
    <w:rsid w:val="00951CE3"/>
    <w:rsid w:val="0095220B"/>
    <w:rsid w:val="00955C50"/>
    <w:rsid w:val="0095787F"/>
    <w:rsid w:val="009627DA"/>
    <w:rsid w:val="00962985"/>
    <w:rsid w:val="009655B3"/>
    <w:rsid w:val="00965DDA"/>
    <w:rsid w:val="00966905"/>
    <w:rsid w:val="00967D46"/>
    <w:rsid w:val="00972024"/>
    <w:rsid w:val="00972608"/>
    <w:rsid w:val="009757EF"/>
    <w:rsid w:val="00976D24"/>
    <w:rsid w:val="00981D67"/>
    <w:rsid w:val="00983F6E"/>
    <w:rsid w:val="00984D10"/>
    <w:rsid w:val="009902C5"/>
    <w:rsid w:val="00993AC4"/>
    <w:rsid w:val="009944E8"/>
    <w:rsid w:val="00995843"/>
    <w:rsid w:val="0099716A"/>
    <w:rsid w:val="00997D5F"/>
    <w:rsid w:val="009A3765"/>
    <w:rsid w:val="009B04CF"/>
    <w:rsid w:val="009B118E"/>
    <w:rsid w:val="009B2AEC"/>
    <w:rsid w:val="009B3341"/>
    <w:rsid w:val="009B393E"/>
    <w:rsid w:val="009B640D"/>
    <w:rsid w:val="009B7927"/>
    <w:rsid w:val="009C1887"/>
    <w:rsid w:val="009D15AC"/>
    <w:rsid w:val="009D25C2"/>
    <w:rsid w:val="009D43AF"/>
    <w:rsid w:val="009D47CB"/>
    <w:rsid w:val="009D6205"/>
    <w:rsid w:val="009D66E9"/>
    <w:rsid w:val="009E792A"/>
    <w:rsid w:val="009F4E02"/>
    <w:rsid w:val="009F5DCD"/>
    <w:rsid w:val="00A01EDA"/>
    <w:rsid w:val="00A0341A"/>
    <w:rsid w:val="00A034EC"/>
    <w:rsid w:val="00A0529A"/>
    <w:rsid w:val="00A07239"/>
    <w:rsid w:val="00A1037B"/>
    <w:rsid w:val="00A10ED1"/>
    <w:rsid w:val="00A12881"/>
    <w:rsid w:val="00A1591D"/>
    <w:rsid w:val="00A15FB7"/>
    <w:rsid w:val="00A16260"/>
    <w:rsid w:val="00A16567"/>
    <w:rsid w:val="00A16AE6"/>
    <w:rsid w:val="00A177C5"/>
    <w:rsid w:val="00A215CE"/>
    <w:rsid w:val="00A22BAF"/>
    <w:rsid w:val="00A24969"/>
    <w:rsid w:val="00A25BDB"/>
    <w:rsid w:val="00A303C1"/>
    <w:rsid w:val="00A31C6A"/>
    <w:rsid w:val="00A34E8F"/>
    <w:rsid w:val="00A36F95"/>
    <w:rsid w:val="00A37C86"/>
    <w:rsid w:val="00A43E6B"/>
    <w:rsid w:val="00A43FD9"/>
    <w:rsid w:val="00A44E0A"/>
    <w:rsid w:val="00A4708F"/>
    <w:rsid w:val="00A5058C"/>
    <w:rsid w:val="00A543D4"/>
    <w:rsid w:val="00A64F5D"/>
    <w:rsid w:val="00A72CF1"/>
    <w:rsid w:val="00A733EB"/>
    <w:rsid w:val="00A7461B"/>
    <w:rsid w:val="00A763B7"/>
    <w:rsid w:val="00A773EE"/>
    <w:rsid w:val="00A8038B"/>
    <w:rsid w:val="00A818CE"/>
    <w:rsid w:val="00A825CB"/>
    <w:rsid w:val="00A83C30"/>
    <w:rsid w:val="00A85433"/>
    <w:rsid w:val="00A905FD"/>
    <w:rsid w:val="00AA07E7"/>
    <w:rsid w:val="00AA34B7"/>
    <w:rsid w:val="00AA34FA"/>
    <w:rsid w:val="00AA4CA8"/>
    <w:rsid w:val="00AA563E"/>
    <w:rsid w:val="00AA6428"/>
    <w:rsid w:val="00AA76AA"/>
    <w:rsid w:val="00AB18C8"/>
    <w:rsid w:val="00AB1AA6"/>
    <w:rsid w:val="00AB291B"/>
    <w:rsid w:val="00AB4166"/>
    <w:rsid w:val="00AB60B4"/>
    <w:rsid w:val="00AC0915"/>
    <w:rsid w:val="00AC25A0"/>
    <w:rsid w:val="00AD0460"/>
    <w:rsid w:val="00AD5B21"/>
    <w:rsid w:val="00AD65D7"/>
    <w:rsid w:val="00AE0DC6"/>
    <w:rsid w:val="00AE21AF"/>
    <w:rsid w:val="00AE2BE6"/>
    <w:rsid w:val="00AE2CD6"/>
    <w:rsid w:val="00AE3BB5"/>
    <w:rsid w:val="00AE58D1"/>
    <w:rsid w:val="00AE5989"/>
    <w:rsid w:val="00AF1408"/>
    <w:rsid w:val="00AF3591"/>
    <w:rsid w:val="00AF3801"/>
    <w:rsid w:val="00AF40BA"/>
    <w:rsid w:val="00AF5CB8"/>
    <w:rsid w:val="00AF7257"/>
    <w:rsid w:val="00B05F54"/>
    <w:rsid w:val="00B10FD0"/>
    <w:rsid w:val="00B12B46"/>
    <w:rsid w:val="00B13D88"/>
    <w:rsid w:val="00B1408D"/>
    <w:rsid w:val="00B2680B"/>
    <w:rsid w:val="00B31FAF"/>
    <w:rsid w:val="00B36104"/>
    <w:rsid w:val="00B36374"/>
    <w:rsid w:val="00B36BBB"/>
    <w:rsid w:val="00B419BB"/>
    <w:rsid w:val="00B43098"/>
    <w:rsid w:val="00B44F12"/>
    <w:rsid w:val="00B50078"/>
    <w:rsid w:val="00B51397"/>
    <w:rsid w:val="00B5481D"/>
    <w:rsid w:val="00B55A61"/>
    <w:rsid w:val="00B55DFA"/>
    <w:rsid w:val="00B56A61"/>
    <w:rsid w:val="00B605B7"/>
    <w:rsid w:val="00B6098E"/>
    <w:rsid w:val="00B649CB"/>
    <w:rsid w:val="00B72139"/>
    <w:rsid w:val="00B72ADE"/>
    <w:rsid w:val="00B73B11"/>
    <w:rsid w:val="00B77020"/>
    <w:rsid w:val="00B83C6F"/>
    <w:rsid w:val="00B84736"/>
    <w:rsid w:val="00B85A8E"/>
    <w:rsid w:val="00B875E5"/>
    <w:rsid w:val="00B903DC"/>
    <w:rsid w:val="00B964F9"/>
    <w:rsid w:val="00B977DF"/>
    <w:rsid w:val="00BA055D"/>
    <w:rsid w:val="00BA0715"/>
    <w:rsid w:val="00BA0CBA"/>
    <w:rsid w:val="00BA31BF"/>
    <w:rsid w:val="00BA3586"/>
    <w:rsid w:val="00BA3FF8"/>
    <w:rsid w:val="00BB01B4"/>
    <w:rsid w:val="00BB027E"/>
    <w:rsid w:val="00BB45A2"/>
    <w:rsid w:val="00BB5F7B"/>
    <w:rsid w:val="00BB6622"/>
    <w:rsid w:val="00BB67DD"/>
    <w:rsid w:val="00BC0179"/>
    <w:rsid w:val="00BC16B7"/>
    <w:rsid w:val="00BC241F"/>
    <w:rsid w:val="00BC2C48"/>
    <w:rsid w:val="00BC5A25"/>
    <w:rsid w:val="00BC74EC"/>
    <w:rsid w:val="00BC7B6C"/>
    <w:rsid w:val="00BD58EB"/>
    <w:rsid w:val="00BD69E7"/>
    <w:rsid w:val="00BD77C7"/>
    <w:rsid w:val="00BE343D"/>
    <w:rsid w:val="00BE40E9"/>
    <w:rsid w:val="00BF0899"/>
    <w:rsid w:val="00BF08CB"/>
    <w:rsid w:val="00BF14E8"/>
    <w:rsid w:val="00BF27E9"/>
    <w:rsid w:val="00BF2B19"/>
    <w:rsid w:val="00BF64A8"/>
    <w:rsid w:val="00C00563"/>
    <w:rsid w:val="00C041B6"/>
    <w:rsid w:val="00C04AA1"/>
    <w:rsid w:val="00C065F1"/>
    <w:rsid w:val="00C06E13"/>
    <w:rsid w:val="00C109BB"/>
    <w:rsid w:val="00C126B0"/>
    <w:rsid w:val="00C139F7"/>
    <w:rsid w:val="00C14339"/>
    <w:rsid w:val="00C147C3"/>
    <w:rsid w:val="00C15415"/>
    <w:rsid w:val="00C16238"/>
    <w:rsid w:val="00C2026B"/>
    <w:rsid w:val="00C25DB2"/>
    <w:rsid w:val="00C2717F"/>
    <w:rsid w:val="00C32229"/>
    <w:rsid w:val="00C41BE8"/>
    <w:rsid w:val="00C505F1"/>
    <w:rsid w:val="00C52880"/>
    <w:rsid w:val="00C52BC1"/>
    <w:rsid w:val="00C5404F"/>
    <w:rsid w:val="00C542DB"/>
    <w:rsid w:val="00C546D1"/>
    <w:rsid w:val="00C54D18"/>
    <w:rsid w:val="00C567A3"/>
    <w:rsid w:val="00C571AD"/>
    <w:rsid w:val="00C57A33"/>
    <w:rsid w:val="00C60CE6"/>
    <w:rsid w:val="00C611AF"/>
    <w:rsid w:val="00C62744"/>
    <w:rsid w:val="00C630DB"/>
    <w:rsid w:val="00C64685"/>
    <w:rsid w:val="00C66575"/>
    <w:rsid w:val="00C668DA"/>
    <w:rsid w:val="00C66E8B"/>
    <w:rsid w:val="00C7254A"/>
    <w:rsid w:val="00C73584"/>
    <w:rsid w:val="00C75436"/>
    <w:rsid w:val="00C76740"/>
    <w:rsid w:val="00C84528"/>
    <w:rsid w:val="00C91C02"/>
    <w:rsid w:val="00C93C51"/>
    <w:rsid w:val="00C96AA7"/>
    <w:rsid w:val="00C97738"/>
    <w:rsid w:val="00CA6C3B"/>
    <w:rsid w:val="00CA7C3E"/>
    <w:rsid w:val="00CB0341"/>
    <w:rsid w:val="00CB0DCF"/>
    <w:rsid w:val="00CB3B91"/>
    <w:rsid w:val="00CB595D"/>
    <w:rsid w:val="00CB7B8C"/>
    <w:rsid w:val="00CC0023"/>
    <w:rsid w:val="00CC20C9"/>
    <w:rsid w:val="00CC34A0"/>
    <w:rsid w:val="00CD0D7B"/>
    <w:rsid w:val="00CD0F8D"/>
    <w:rsid w:val="00CD2230"/>
    <w:rsid w:val="00CD37F0"/>
    <w:rsid w:val="00CD7A88"/>
    <w:rsid w:val="00CE17E0"/>
    <w:rsid w:val="00CE1F19"/>
    <w:rsid w:val="00CE5918"/>
    <w:rsid w:val="00CE665D"/>
    <w:rsid w:val="00CE7190"/>
    <w:rsid w:val="00CF2764"/>
    <w:rsid w:val="00CF3532"/>
    <w:rsid w:val="00CF5E9F"/>
    <w:rsid w:val="00CF60FF"/>
    <w:rsid w:val="00CF67E1"/>
    <w:rsid w:val="00CF7E1F"/>
    <w:rsid w:val="00D042C7"/>
    <w:rsid w:val="00D1189A"/>
    <w:rsid w:val="00D12CC3"/>
    <w:rsid w:val="00D12D11"/>
    <w:rsid w:val="00D13174"/>
    <w:rsid w:val="00D164D2"/>
    <w:rsid w:val="00D21E56"/>
    <w:rsid w:val="00D2469E"/>
    <w:rsid w:val="00D24720"/>
    <w:rsid w:val="00D25B8B"/>
    <w:rsid w:val="00D302E2"/>
    <w:rsid w:val="00D30C8C"/>
    <w:rsid w:val="00D31372"/>
    <w:rsid w:val="00D316DA"/>
    <w:rsid w:val="00D34F06"/>
    <w:rsid w:val="00D351C4"/>
    <w:rsid w:val="00D35A06"/>
    <w:rsid w:val="00D3766F"/>
    <w:rsid w:val="00D44A1B"/>
    <w:rsid w:val="00D51FCE"/>
    <w:rsid w:val="00D521E6"/>
    <w:rsid w:val="00D5250A"/>
    <w:rsid w:val="00D535C4"/>
    <w:rsid w:val="00D53E9A"/>
    <w:rsid w:val="00D550C1"/>
    <w:rsid w:val="00D55A8B"/>
    <w:rsid w:val="00D700B9"/>
    <w:rsid w:val="00D72838"/>
    <w:rsid w:val="00D72E1D"/>
    <w:rsid w:val="00D74941"/>
    <w:rsid w:val="00D7497F"/>
    <w:rsid w:val="00D7540E"/>
    <w:rsid w:val="00D7753A"/>
    <w:rsid w:val="00D77DFA"/>
    <w:rsid w:val="00D800C6"/>
    <w:rsid w:val="00D8085D"/>
    <w:rsid w:val="00D80C5F"/>
    <w:rsid w:val="00D81B27"/>
    <w:rsid w:val="00D81C5A"/>
    <w:rsid w:val="00D842F3"/>
    <w:rsid w:val="00D85360"/>
    <w:rsid w:val="00D8653B"/>
    <w:rsid w:val="00D87C3E"/>
    <w:rsid w:val="00D90509"/>
    <w:rsid w:val="00D92942"/>
    <w:rsid w:val="00D9297A"/>
    <w:rsid w:val="00D97771"/>
    <w:rsid w:val="00DA6026"/>
    <w:rsid w:val="00DA6622"/>
    <w:rsid w:val="00DB0729"/>
    <w:rsid w:val="00DB0A6D"/>
    <w:rsid w:val="00DB3835"/>
    <w:rsid w:val="00DB755B"/>
    <w:rsid w:val="00DB7C65"/>
    <w:rsid w:val="00DC0568"/>
    <w:rsid w:val="00DC38C7"/>
    <w:rsid w:val="00DC3B9D"/>
    <w:rsid w:val="00DC6373"/>
    <w:rsid w:val="00DD0356"/>
    <w:rsid w:val="00DD061C"/>
    <w:rsid w:val="00DD3E85"/>
    <w:rsid w:val="00DD718B"/>
    <w:rsid w:val="00DE3058"/>
    <w:rsid w:val="00DE499B"/>
    <w:rsid w:val="00DE4BF7"/>
    <w:rsid w:val="00DF0273"/>
    <w:rsid w:val="00DF46B8"/>
    <w:rsid w:val="00DF78A6"/>
    <w:rsid w:val="00E07F38"/>
    <w:rsid w:val="00E10B83"/>
    <w:rsid w:val="00E112E1"/>
    <w:rsid w:val="00E1171E"/>
    <w:rsid w:val="00E11EC5"/>
    <w:rsid w:val="00E12967"/>
    <w:rsid w:val="00E13679"/>
    <w:rsid w:val="00E1457E"/>
    <w:rsid w:val="00E167E2"/>
    <w:rsid w:val="00E171E5"/>
    <w:rsid w:val="00E21F1D"/>
    <w:rsid w:val="00E24EF2"/>
    <w:rsid w:val="00E25945"/>
    <w:rsid w:val="00E27261"/>
    <w:rsid w:val="00E336A9"/>
    <w:rsid w:val="00E3521A"/>
    <w:rsid w:val="00E37938"/>
    <w:rsid w:val="00E43384"/>
    <w:rsid w:val="00E45BBF"/>
    <w:rsid w:val="00E4772F"/>
    <w:rsid w:val="00E47B72"/>
    <w:rsid w:val="00E505A8"/>
    <w:rsid w:val="00E60EE4"/>
    <w:rsid w:val="00E62F87"/>
    <w:rsid w:val="00E64270"/>
    <w:rsid w:val="00E660C1"/>
    <w:rsid w:val="00E675EA"/>
    <w:rsid w:val="00E70754"/>
    <w:rsid w:val="00E7115F"/>
    <w:rsid w:val="00E7319D"/>
    <w:rsid w:val="00E739AF"/>
    <w:rsid w:val="00E77426"/>
    <w:rsid w:val="00E77A34"/>
    <w:rsid w:val="00E77BA0"/>
    <w:rsid w:val="00E77FAB"/>
    <w:rsid w:val="00E813C8"/>
    <w:rsid w:val="00E82251"/>
    <w:rsid w:val="00E86D18"/>
    <w:rsid w:val="00E901D3"/>
    <w:rsid w:val="00E90AA6"/>
    <w:rsid w:val="00E91BF2"/>
    <w:rsid w:val="00E9391C"/>
    <w:rsid w:val="00E94A9A"/>
    <w:rsid w:val="00E97B83"/>
    <w:rsid w:val="00EA006A"/>
    <w:rsid w:val="00EA3B4A"/>
    <w:rsid w:val="00EB0656"/>
    <w:rsid w:val="00EB31BC"/>
    <w:rsid w:val="00EB5706"/>
    <w:rsid w:val="00EC33EC"/>
    <w:rsid w:val="00EC5FA1"/>
    <w:rsid w:val="00EC6069"/>
    <w:rsid w:val="00EC6778"/>
    <w:rsid w:val="00ED0081"/>
    <w:rsid w:val="00ED1691"/>
    <w:rsid w:val="00ED35EB"/>
    <w:rsid w:val="00ED4C28"/>
    <w:rsid w:val="00ED677B"/>
    <w:rsid w:val="00ED6DD4"/>
    <w:rsid w:val="00EE02A7"/>
    <w:rsid w:val="00EE42B8"/>
    <w:rsid w:val="00EE4EEC"/>
    <w:rsid w:val="00EF1B25"/>
    <w:rsid w:val="00EF332E"/>
    <w:rsid w:val="00EF5CA3"/>
    <w:rsid w:val="00EF6EB9"/>
    <w:rsid w:val="00F00DA6"/>
    <w:rsid w:val="00F00EB4"/>
    <w:rsid w:val="00F00F05"/>
    <w:rsid w:val="00F02D17"/>
    <w:rsid w:val="00F05953"/>
    <w:rsid w:val="00F05FBD"/>
    <w:rsid w:val="00F06687"/>
    <w:rsid w:val="00F10B32"/>
    <w:rsid w:val="00F12AA1"/>
    <w:rsid w:val="00F13D77"/>
    <w:rsid w:val="00F14172"/>
    <w:rsid w:val="00F22941"/>
    <w:rsid w:val="00F2331D"/>
    <w:rsid w:val="00F317A2"/>
    <w:rsid w:val="00F318E6"/>
    <w:rsid w:val="00F328F0"/>
    <w:rsid w:val="00F33897"/>
    <w:rsid w:val="00F33D3E"/>
    <w:rsid w:val="00F37057"/>
    <w:rsid w:val="00F419D2"/>
    <w:rsid w:val="00F4427B"/>
    <w:rsid w:val="00F4452E"/>
    <w:rsid w:val="00F5427F"/>
    <w:rsid w:val="00F54F92"/>
    <w:rsid w:val="00F55B63"/>
    <w:rsid w:val="00F56964"/>
    <w:rsid w:val="00F62B29"/>
    <w:rsid w:val="00F64000"/>
    <w:rsid w:val="00F66938"/>
    <w:rsid w:val="00F707CC"/>
    <w:rsid w:val="00F7101A"/>
    <w:rsid w:val="00F72B71"/>
    <w:rsid w:val="00F73663"/>
    <w:rsid w:val="00F74642"/>
    <w:rsid w:val="00F75A05"/>
    <w:rsid w:val="00F75EEC"/>
    <w:rsid w:val="00F764ED"/>
    <w:rsid w:val="00F768F9"/>
    <w:rsid w:val="00F80DC0"/>
    <w:rsid w:val="00F81990"/>
    <w:rsid w:val="00F81F8B"/>
    <w:rsid w:val="00F82262"/>
    <w:rsid w:val="00F841B0"/>
    <w:rsid w:val="00F858FA"/>
    <w:rsid w:val="00F86317"/>
    <w:rsid w:val="00F9038A"/>
    <w:rsid w:val="00F91A42"/>
    <w:rsid w:val="00F96EFC"/>
    <w:rsid w:val="00FA1917"/>
    <w:rsid w:val="00FA2CE0"/>
    <w:rsid w:val="00FB1AD8"/>
    <w:rsid w:val="00FB5DCA"/>
    <w:rsid w:val="00FC0164"/>
    <w:rsid w:val="00FC0418"/>
    <w:rsid w:val="00FC1631"/>
    <w:rsid w:val="00FC1C87"/>
    <w:rsid w:val="00FC2393"/>
    <w:rsid w:val="00FC4BC1"/>
    <w:rsid w:val="00FC7D85"/>
    <w:rsid w:val="00FD1224"/>
    <w:rsid w:val="00FD23A7"/>
    <w:rsid w:val="00FD3A8B"/>
    <w:rsid w:val="00FD4F18"/>
    <w:rsid w:val="00FD61DB"/>
    <w:rsid w:val="00FE7834"/>
    <w:rsid w:val="00FF3351"/>
    <w:rsid w:val="00FF3862"/>
    <w:rsid w:val="00FF6D9F"/>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31A79B"/>
  <w15:docId w15:val="{285E89EE-ADA0-4601-A68A-641560BB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4D"/>
  </w:style>
  <w:style w:type="paragraph" w:styleId="Heading1">
    <w:name w:val="heading 1"/>
    <w:basedOn w:val="Normal"/>
    <w:next w:val="Normal"/>
    <w:link w:val="Heading1Char"/>
    <w:uiPriority w:val="9"/>
    <w:qFormat/>
    <w:rsid w:val="0087534D"/>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534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7534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87534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7534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7534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7534D"/>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7534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7534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50C"/>
    <w:rPr>
      <w:color w:val="0000FF"/>
      <w:u w:val="single"/>
    </w:rPr>
  </w:style>
  <w:style w:type="paragraph" w:styleId="Title">
    <w:name w:val="Title"/>
    <w:basedOn w:val="Normal"/>
    <w:next w:val="Normal"/>
    <w:link w:val="TitleChar"/>
    <w:uiPriority w:val="10"/>
    <w:qFormat/>
    <w:rsid w:val="0087534D"/>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7534D"/>
    <w:rPr>
      <w:rFonts w:asciiTheme="majorHAnsi" w:eastAsiaTheme="majorEastAsia" w:hAnsiTheme="majorHAnsi" w:cstheme="majorBidi"/>
      <w:color w:val="5B9BD5" w:themeColor="accent1"/>
      <w:spacing w:val="-10"/>
      <w:sz w:val="56"/>
      <w:szCs w:val="56"/>
    </w:rPr>
  </w:style>
  <w:style w:type="paragraph" w:styleId="ListParagraph">
    <w:name w:val="List Paragraph"/>
    <w:basedOn w:val="Normal"/>
    <w:uiPriority w:val="34"/>
    <w:qFormat/>
    <w:rsid w:val="00DF0273"/>
    <w:pPr>
      <w:ind w:left="720"/>
      <w:contextualSpacing/>
    </w:pPr>
  </w:style>
  <w:style w:type="character" w:styleId="FollowedHyperlink">
    <w:name w:val="FollowedHyperlink"/>
    <w:basedOn w:val="DefaultParagraphFont"/>
    <w:uiPriority w:val="99"/>
    <w:semiHidden/>
    <w:unhideWhenUsed/>
    <w:rsid w:val="00D77DFA"/>
    <w:rPr>
      <w:color w:val="954F72" w:themeColor="followedHyperlink"/>
      <w:u w:val="single"/>
    </w:rPr>
  </w:style>
  <w:style w:type="character" w:styleId="Strong">
    <w:name w:val="Strong"/>
    <w:basedOn w:val="DefaultParagraphFont"/>
    <w:uiPriority w:val="22"/>
    <w:qFormat/>
    <w:rsid w:val="0087534D"/>
    <w:rPr>
      <w:b/>
      <w:bCs/>
    </w:rPr>
  </w:style>
  <w:style w:type="character" w:styleId="CommentReference">
    <w:name w:val="annotation reference"/>
    <w:basedOn w:val="DefaultParagraphFont"/>
    <w:uiPriority w:val="99"/>
    <w:semiHidden/>
    <w:unhideWhenUsed/>
    <w:rsid w:val="00FC1C87"/>
    <w:rPr>
      <w:sz w:val="16"/>
      <w:szCs w:val="16"/>
    </w:rPr>
  </w:style>
  <w:style w:type="paragraph" w:styleId="CommentText">
    <w:name w:val="annotation text"/>
    <w:basedOn w:val="Normal"/>
    <w:link w:val="CommentTextChar"/>
    <w:uiPriority w:val="99"/>
    <w:unhideWhenUsed/>
    <w:rsid w:val="00FC1C87"/>
    <w:pPr>
      <w:spacing w:line="240" w:lineRule="auto"/>
    </w:pPr>
  </w:style>
  <w:style w:type="character" w:customStyle="1" w:styleId="CommentTextChar">
    <w:name w:val="Comment Text Char"/>
    <w:basedOn w:val="DefaultParagraphFont"/>
    <w:link w:val="CommentText"/>
    <w:uiPriority w:val="99"/>
    <w:rsid w:val="00FC1C87"/>
    <w:rPr>
      <w:sz w:val="20"/>
      <w:szCs w:val="20"/>
    </w:rPr>
  </w:style>
  <w:style w:type="paragraph" w:styleId="CommentSubject">
    <w:name w:val="annotation subject"/>
    <w:basedOn w:val="CommentText"/>
    <w:next w:val="CommentText"/>
    <w:link w:val="CommentSubjectChar"/>
    <w:uiPriority w:val="99"/>
    <w:semiHidden/>
    <w:unhideWhenUsed/>
    <w:rsid w:val="00FC1C87"/>
    <w:rPr>
      <w:b/>
      <w:bCs/>
    </w:rPr>
  </w:style>
  <w:style w:type="character" w:customStyle="1" w:styleId="CommentSubjectChar">
    <w:name w:val="Comment Subject Char"/>
    <w:basedOn w:val="CommentTextChar"/>
    <w:link w:val="CommentSubject"/>
    <w:uiPriority w:val="99"/>
    <w:semiHidden/>
    <w:rsid w:val="00FC1C87"/>
    <w:rPr>
      <w:b/>
      <w:bCs/>
      <w:sz w:val="20"/>
      <w:szCs w:val="20"/>
    </w:rPr>
  </w:style>
  <w:style w:type="paragraph" w:styleId="BalloonText">
    <w:name w:val="Balloon Text"/>
    <w:basedOn w:val="Normal"/>
    <w:link w:val="BalloonTextChar"/>
    <w:uiPriority w:val="99"/>
    <w:semiHidden/>
    <w:unhideWhenUsed/>
    <w:rsid w:val="00FC1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C87"/>
    <w:rPr>
      <w:rFonts w:ascii="Tahoma" w:hAnsi="Tahoma" w:cs="Tahoma"/>
      <w:sz w:val="16"/>
      <w:szCs w:val="16"/>
    </w:rPr>
  </w:style>
  <w:style w:type="character" w:customStyle="1" w:styleId="Heading3Char">
    <w:name w:val="Heading 3 Char"/>
    <w:basedOn w:val="DefaultParagraphFont"/>
    <w:link w:val="Heading3"/>
    <w:uiPriority w:val="9"/>
    <w:rsid w:val="0087534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87534D"/>
    <w:rPr>
      <w:rFonts w:asciiTheme="majorHAnsi" w:eastAsiaTheme="majorEastAsia" w:hAnsiTheme="majorHAnsi" w:cstheme="majorBidi"/>
      <w:sz w:val="22"/>
      <w:szCs w:val="22"/>
    </w:rPr>
  </w:style>
  <w:style w:type="paragraph" w:styleId="NormalWeb">
    <w:name w:val="Normal (Web)"/>
    <w:basedOn w:val="Normal"/>
    <w:uiPriority w:val="99"/>
    <w:semiHidden/>
    <w:unhideWhenUsed/>
    <w:rsid w:val="00FC1C87"/>
    <w:pPr>
      <w:spacing w:before="100" w:beforeAutospacing="1" w:after="100" w:afterAutospacing="1" w:line="240" w:lineRule="auto"/>
    </w:pPr>
    <w:rPr>
      <w:rFonts w:ascii="Times New Roman" w:eastAsia="Times New Roman" w:hAnsi="Times New Roman" w:cs="Times New Roman"/>
      <w:sz w:val="24"/>
      <w:szCs w:val="24"/>
      <w:lang w:val="en-AU" w:eastAsia="zh-CN"/>
    </w:rPr>
  </w:style>
  <w:style w:type="character" w:styleId="Emphasis">
    <w:name w:val="Emphasis"/>
    <w:basedOn w:val="DefaultParagraphFont"/>
    <w:uiPriority w:val="20"/>
    <w:qFormat/>
    <w:rsid w:val="0087534D"/>
    <w:rPr>
      <w:i/>
      <w:iCs/>
    </w:rPr>
  </w:style>
  <w:style w:type="character" w:customStyle="1" w:styleId="b">
    <w:name w:val="b"/>
    <w:basedOn w:val="DefaultParagraphFont"/>
    <w:rsid w:val="00967D46"/>
  </w:style>
  <w:style w:type="character" w:customStyle="1" w:styleId="Heading2Char">
    <w:name w:val="Heading 2 Char"/>
    <w:basedOn w:val="DefaultParagraphFont"/>
    <w:link w:val="Heading2"/>
    <w:uiPriority w:val="9"/>
    <w:rsid w:val="0087534D"/>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87534D"/>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87534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7534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7534D"/>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7534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7534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7534D"/>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7534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7534D"/>
    <w:rPr>
      <w:rFonts w:asciiTheme="majorHAnsi" w:eastAsiaTheme="majorEastAsia" w:hAnsiTheme="majorHAnsi" w:cstheme="majorBidi"/>
      <w:sz w:val="24"/>
      <w:szCs w:val="24"/>
    </w:rPr>
  </w:style>
  <w:style w:type="paragraph" w:styleId="NoSpacing">
    <w:name w:val="No Spacing"/>
    <w:uiPriority w:val="1"/>
    <w:qFormat/>
    <w:rsid w:val="0087534D"/>
    <w:pPr>
      <w:spacing w:after="0" w:line="240" w:lineRule="auto"/>
    </w:pPr>
  </w:style>
  <w:style w:type="paragraph" w:styleId="Quote">
    <w:name w:val="Quote"/>
    <w:basedOn w:val="Normal"/>
    <w:next w:val="Normal"/>
    <w:link w:val="QuoteChar"/>
    <w:uiPriority w:val="29"/>
    <w:qFormat/>
    <w:rsid w:val="0087534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7534D"/>
    <w:rPr>
      <w:i/>
      <w:iCs/>
      <w:color w:val="404040" w:themeColor="text1" w:themeTint="BF"/>
    </w:rPr>
  </w:style>
  <w:style w:type="paragraph" w:styleId="IntenseQuote">
    <w:name w:val="Intense Quote"/>
    <w:basedOn w:val="Normal"/>
    <w:next w:val="Normal"/>
    <w:link w:val="IntenseQuoteChar"/>
    <w:uiPriority w:val="30"/>
    <w:qFormat/>
    <w:rsid w:val="0087534D"/>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7534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87534D"/>
    <w:rPr>
      <w:i/>
      <w:iCs/>
      <w:color w:val="404040" w:themeColor="text1" w:themeTint="BF"/>
    </w:rPr>
  </w:style>
  <w:style w:type="character" w:styleId="IntenseEmphasis">
    <w:name w:val="Intense Emphasis"/>
    <w:basedOn w:val="DefaultParagraphFont"/>
    <w:uiPriority w:val="21"/>
    <w:qFormat/>
    <w:rsid w:val="0087534D"/>
    <w:rPr>
      <w:b/>
      <w:bCs/>
      <w:i/>
      <w:iCs/>
    </w:rPr>
  </w:style>
  <w:style w:type="character" w:styleId="SubtleReference">
    <w:name w:val="Subtle Reference"/>
    <w:basedOn w:val="DefaultParagraphFont"/>
    <w:uiPriority w:val="31"/>
    <w:qFormat/>
    <w:rsid w:val="0087534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7534D"/>
    <w:rPr>
      <w:b/>
      <w:bCs/>
      <w:smallCaps/>
      <w:spacing w:val="5"/>
      <w:u w:val="single"/>
    </w:rPr>
  </w:style>
  <w:style w:type="character" w:styleId="BookTitle">
    <w:name w:val="Book Title"/>
    <w:basedOn w:val="DefaultParagraphFont"/>
    <w:uiPriority w:val="33"/>
    <w:qFormat/>
    <w:rsid w:val="0087534D"/>
    <w:rPr>
      <w:b/>
      <w:bCs/>
      <w:smallCaps/>
    </w:rPr>
  </w:style>
  <w:style w:type="paragraph" w:styleId="TOCHeading">
    <w:name w:val="TOC Heading"/>
    <w:basedOn w:val="Heading1"/>
    <w:next w:val="Normal"/>
    <w:uiPriority w:val="39"/>
    <w:semiHidden/>
    <w:unhideWhenUsed/>
    <w:qFormat/>
    <w:rsid w:val="0087534D"/>
    <w:pPr>
      <w:outlineLvl w:val="9"/>
    </w:pPr>
  </w:style>
  <w:style w:type="paragraph" w:styleId="Header">
    <w:name w:val="header"/>
    <w:basedOn w:val="Normal"/>
    <w:link w:val="HeaderChar"/>
    <w:uiPriority w:val="99"/>
    <w:unhideWhenUsed/>
    <w:rsid w:val="00875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34D"/>
  </w:style>
  <w:style w:type="paragraph" w:styleId="Footer">
    <w:name w:val="footer"/>
    <w:basedOn w:val="Normal"/>
    <w:link w:val="FooterChar"/>
    <w:uiPriority w:val="99"/>
    <w:unhideWhenUsed/>
    <w:rsid w:val="00875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92345">
      <w:bodyDiv w:val="1"/>
      <w:marLeft w:val="0"/>
      <w:marRight w:val="0"/>
      <w:marTop w:val="0"/>
      <w:marBottom w:val="0"/>
      <w:divBdr>
        <w:top w:val="none" w:sz="0" w:space="0" w:color="auto"/>
        <w:left w:val="none" w:sz="0" w:space="0" w:color="auto"/>
        <w:bottom w:val="none" w:sz="0" w:space="0" w:color="auto"/>
        <w:right w:val="none" w:sz="0" w:space="0" w:color="auto"/>
      </w:divBdr>
      <w:divsChild>
        <w:div w:id="2077701094">
          <w:marLeft w:val="0"/>
          <w:marRight w:val="0"/>
          <w:marTop w:val="0"/>
          <w:marBottom w:val="0"/>
          <w:divBdr>
            <w:top w:val="none" w:sz="0" w:space="0" w:color="auto"/>
            <w:left w:val="none" w:sz="0" w:space="0" w:color="auto"/>
            <w:bottom w:val="none" w:sz="0" w:space="0" w:color="auto"/>
            <w:right w:val="none" w:sz="0" w:space="0" w:color="auto"/>
          </w:divBdr>
          <w:divsChild>
            <w:div w:id="755590564">
              <w:marLeft w:val="0"/>
              <w:marRight w:val="0"/>
              <w:marTop w:val="0"/>
              <w:marBottom w:val="0"/>
              <w:divBdr>
                <w:top w:val="none" w:sz="0" w:space="0" w:color="auto"/>
                <w:left w:val="none" w:sz="0" w:space="0" w:color="auto"/>
                <w:bottom w:val="none" w:sz="0" w:space="0" w:color="auto"/>
                <w:right w:val="none" w:sz="0" w:space="0" w:color="auto"/>
              </w:divBdr>
              <w:divsChild>
                <w:div w:id="614217496">
                  <w:marLeft w:val="0"/>
                  <w:marRight w:val="0"/>
                  <w:marTop w:val="0"/>
                  <w:marBottom w:val="0"/>
                  <w:divBdr>
                    <w:top w:val="none" w:sz="0" w:space="0" w:color="auto"/>
                    <w:left w:val="none" w:sz="0" w:space="0" w:color="auto"/>
                    <w:bottom w:val="none" w:sz="0" w:space="0" w:color="auto"/>
                    <w:right w:val="none" w:sz="0" w:space="0" w:color="auto"/>
                  </w:divBdr>
                  <w:divsChild>
                    <w:div w:id="992610716">
                      <w:marLeft w:val="0"/>
                      <w:marRight w:val="0"/>
                      <w:marTop w:val="0"/>
                      <w:marBottom w:val="0"/>
                      <w:divBdr>
                        <w:top w:val="none" w:sz="0" w:space="0" w:color="auto"/>
                        <w:left w:val="none" w:sz="0" w:space="0" w:color="auto"/>
                        <w:bottom w:val="none" w:sz="0" w:space="0" w:color="auto"/>
                        <w:right w:val="none" w:sz="0" w:space="0" w:color="auto"/>
                      </w:divBdr>
                      <w:divsChild>
                        <w:div w:id="728698085">
                          <w:marLeft w:val="0"/>
                          <w:marRight w:val="0"/>
                          <w:marTop w:val="0"/>
                          <w:marBottom w:val="0"/>
                          <w:divBdr>
                            <w:top w:val="none" w:sz="0" w:space="0" w:color="auto"/>
                            <w:left w:val="none" w:sz="0" w:space="0" w:color="auto"/>
                            <w:bottom w:val="none" w:sz="0" w:space="0" w:color="auto"/>
                            <w:right w:val="none" w:sz="0" w:space="0" w:color="auto"/>
                          </w:divBdr>
                          <w:divsChild>
                            <w:div w:id="1168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80329">
      <w:bodyDiv w:val="1"/>
      <w:marLeft w:val="0"/>
      <w:marRight w:val="0"/>
      <w:marTop w:val="0"/>
      <w:marBottom w:val="0"/>
      <w:divBdr>
        <w:top w:val="none" w:sz="0" w:space="0" w:color="auto"/>
        <w:left w:val="none" w:sz="0" w:space="0" w:color="auto"/>
        <w:bottom w:val="none" w:sz="0" w:space="0" w:color="auto"/>
        <w:right w:val="none" w:sz="0" w:space="0" w:color="auto"/>
      </w:divBdr>
      <w:divsChild>
        <w:div w:id="1161308838">
          <w:marLeft w:val="0"/>
          <w:marRight w:val="0"/>
          <w:marTop w:val="0"/>
          <w:marBottom w:val="0"/>
          <w:divBdr>
            <w:top w:val="none" w:sz="0" w:space="0" w:color="auto"/>
            <w:left w:val="none" w:sz="0" w:space="0" w:color="auto"/>
            <w:bottom w:val="none" w:sz="0" w:space="0" w:color="auto"/>
            <w:right w:val="none" w:sz="0" w:space="0" w:color="auto"/>
          </w:divBdr>
          <w:divsChild>
            <w:div w:id="617570095">
              <w:marLeft w:val="0"/>
              <w:marRight w:val="0"/>
              <w:marTop w:val="0"/>
              <w:marBottom w:val="0"/>
              <w:divBdr>
                <w:top w:val="none" w:sz="0" w:space="0" w:color="auto"/>
                <w:left w:val="none" w:sz="0" w:space="0" w:color="auto"/>
                <w:bottom w:val="none" w:sz="0" w:space="0" w:color="auto"/>
                <w:right w:val="none" w:sz="0" w:space="0" w:color="auto"/>
              </w:divBdr>
              <w:divsChild>
                <w:div w:id="1077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2319">
      <w:bodyDiv w:val="1"/>
      <w:marLeft w:val="0"/>
      <w:marRight w:val="0"/>
      <w:marTop w:val="0"/>
      <w:marBottom w:val="0"/>
      <w:divBdr>
        <w:top w:val="none" w:sz="0" w:space="0" w:color="auto"/>
        <w:left w:val="none" w:sz="0" w:space="0" w:color="auto"/>
        <w:bottom w:val="none" w:sz="0" w:space="0" w:color="auto"/>
        <w:right w:val="none" w:sz="0" w:space="0" w:color="auto"/>
      </w:divBdr>
    </w:div>
    <w:div w:id="1058700821">
      <w:bodyDiv w:val="1"/>
      <w:marLeft w:val="0"/>
      <w:marRight w:val="0"/>
      <w:marTop w:val="0"/>
      <w:marBottom w:val="0"/>
      <w:divBdr>
        <w:top w:val="none" w:sz="0" w:space="0" w:color="auto"/>
        <w:left w:val="none" w:sz="0" w:space="0" w:color="auto"/>
        <w:bottom w:val="none" w:sz="0" w:space="0" w:color="auto"/>
        <w:right w:val="none" w:sz="0" w:space="0" w:color="auto"/>
      </w:divBdr>
    </w:div>
    <w:div w:id="1093550173">
      <w:bodyDiv w:val="1"/>
      <w:marLeft w:val="0"/>
      <w:marRight w:val="0"/>
      <w:marTop w:val="0"/>
      <w:marBottom w:val="0"/>
      <w:divBdr>
        <w:top w:val="none" w:sz="0" w:space="0" w:color="auto"/>
        <w:left w:val="none" w:sz="0" w:space="0" w:color="auto"/>
        <w:bottom w:val="none" w:sz="0" w:space="0" w:color="auto"/>
        <w:right w:val="none" w:sz="0" w:space="0" w:color="auto"/>
      </w:divBdr>
    </w:div>
    <w:div w:id="1274899178">
      <w:bodyDiv w:val="1"/>
      <w:marLeft w:val="0"/>
      <w:marRight w:val="0"/>
      <w:marTop w:val="0"/>
      <w:marBottom w:val="0"/>
      <w:divBdr>
        <w:top w:val="none" w:sz="0" w:space="0" w:color="auto"/>
        <w:left w:val="none" w:sz="0" w:space="0" w:color="auto"/>
        <w:bottom w:val="none" w:sz="0" w:space="0" w:color="auto"/>
        <w:right w:val="none" w:sz="0" w:space="0" w:color="auto"/>
      </w:divBdr>
    </w:div>
    <w:div w:id="1303342337">
      <w:bodyDiv w:val="1"/>
      <w:marLeft w:val="0"/>
      <w:marRight w:val="0"/>
      <w:marTop w:val="0"/>
      <w:marBottom w:val="0"/>
      <w:divBdr>
        <w:top w:val="none" w:sz="0" w:space="0" w:color="auto"/>
        <w:left w:val="none" w:sz="0" w:space="0" w:color="auto"/>
        <w:bottom w:val="none" w:sz="0" w:space="0" w:color="auto"/>
        <w:right w:val="none" w:sz="0" w:space="0" w:color="auto"/>
      </w:divBdr>
    </w:div>
    <w:div w:id="1501386466">
      <w:bodyDiv w:val="1"/>
      <w:marLeft w:val="0"/>
      <w:marRight w:val="0"/>
      <w:marTop w:val="0"/>
      <w:marBottom w:val="0"/>
      <w:divBdr>
        <w:top w:val="none" w:sz="0" w:space="0" w:color="auto"/>
        <w:left w:val="none" w:sz="0" w:space="0" w:color="auto"/>
        <w:bottom w:val="none" w:sz="0" w:space="0" w:color="auto"/>
        <w:right w:val="none" w:sz="0" w:space="0" w:color="auto"/>
      </w:divBdr>
    </w:div>
    <w:div w:id="1539585909">
      <w:bodyDiv w:val="1"/>
      <w:marLeft w:val="0"/>
      <w:marRight w:val="0"/>
      <w:marTop w:val="0"/>
      <w:marBottom w:val="0"/>
      <w:divBdr>
        <w:top w:val="none" w:sz="0" w:space="0" w:color="auto"/>
        <w:left w:val="none" w:sz="0" w:space="0" w:color="auto"/>
        <w:bottom w:val="none" w:sz="0" w:space="0" w:color="auto"/>
        <w:right w:val="none" w:sz="0" w:space="0" w:color="auto"/>
      </w:divBdr>
      <w:divsChild>
        <w:div w:id="1325549785">
          <w:marLeft w:val="0"/>
          <w:marRight w:val="0"/>
          <w:marTop w:val="0"/>
          <w:marBottom w:val="0"/>
          <w:divBdr>
            <w:top w:val="none" w:sz="0" w:space="0" w:color="auto"/>
            <w:left w:val="none" w:sz="0" w:space="0" w:color="auto"/>
            <w:bottom w:val="none" w:sz="0" w:space="0" w:color="auto"/>
            <w:right w:val="none" w:sz="0" w:space="0" w:color="auto"/>
          </w:divBdr>
          <w:divsChild>
            <w:div w:id="1489134548">
              <w:marLeft w:val="0"/>
              <w:marRight w:val="0"/>
              <w:marTop w:val="0"/>
              <w:marBottom w:val="0"/>
              <w:divBdr>
                <w:top w:val="none" w:sz="0" w:space="0" w:color="auto"/>
                <w:left w:val="none" w:sz="0" w:space="0" w:color="auto"/>
                <w:bottom w:val="none" w:sz="0" w:space="0" w:color="auto"/>
                <w:right w:val="none" w:sz="0" w:space="0" w:color="auto"/>
              </w:divBdr>
              <w:divsChild>
                <w:div w:id="1538858288">
                  <w:marLeft w:val="0"/>
                  <w:marRight w:val="0"/>
                  <w:marTop w:val="0"/>
                  <w:marBottom w:val="0"/>
                  <w:divBdr>
                    <w:top w:val="none" w:sz="0" w:space="0" w:color="auto"/>
                    <w:left w:val="none" w:sz="0" w:space="0" w:color="auto"/>
                    <w:bottom w:val="none" w:sz="0" w:space="0" w:color="auto"/>
                    <w:right w:val="none" w:sz="0" w:space="0" w:color="auto"/>
                  </w:divBdr>
                  <w:divsChild>
                    <w:div w:id="1734549235">
                      <w:marLeft w:val="0"/>
                      <w:marRight w:val="0"/>
                      <w:marTop w:val="0"/>
                      <w:marBottom w:val="0"/>
                      <w:divBdr>
                        <w:top w:val="none" w:sz="0" w:space="0" w:color="auto"/>
                        <w:left w:val="none" w:sz="0" w:space="0" w:color="auto"/>
                        <w:bottom w:val="none" w:sz="0" w:space="0" w:color="auto"/>
                        <w:right w:val="none" w:sz="0" w:space="0" w:color="auto"/>
                      </w:divBdr>
                    </w:div>
                  </w:divsChild>
                </w:div>
                <w:div w:id="1758793304">
                  <w:marLeft w:val="0"/>
                  <w:marRight w:val="0"/>
                  <w:marTop w:val="0"/>
                  <w:marBottom w:val="0"/>
                  <w:divBdr>
                    <w:top w:val="none" w:sz="0" w:space="0" w:color="auto"/>
                    <w:left w:val="none" w:sz="0" w:space="0" w:color="auto"/>
                    <w:bottom w:val="none" w:sz="0" w:space="0" w:color="auto"/>
                    <w:right w:val="none" w:sz="0" w:space="0" w:color="auto"/>
                  </w:divBdr>
                  <w:divsChild>
                    <w:div w:id="11818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194">
      <w:bodyDiv w:val="1"/>
      <w:marLeft w:val="0"/>
      <w:marRight w:val="0"/>
      <w:marTop w:val="0"/>
      <w:marBottom w:val="0"/>
      <w:divBdr>
        <w:top w:val="none" w:sz="0" w:space="0" w:color="auto"/>
        <w:left w:val="none" w:sz="0" w:space="0" w:color="auto"/>
        <w:bottom w:val="none" w:sz="0" w:space="0" w:color="auto"/>
        <w:right w:val="none" w:sz="0" w:space="0" w:color="auto"/>
      </w:divBdr>
    </w:div>
    <w:div w:id="1596018683">
      <w:bodyDiv w:val="1"/>
      <w:marLeft w:val="0"/>
      <w:marRight w:val="0"/>
      <w:marTop w:val="0"/>
      <w:marBottom w:val="0"/>
      <w:divBdr>
        <w:top w:val="none" w:sz="0" w:space="0" w:color="auto"/>
        <w:left w:val="none" w:sz="0" w:space="0" w:color="auto"/>
        <w:bottom w:val="none" w:sz="0" w:space="0" w:color="auto"/>
        <w:right w:val="none" w:sz="0" w:space="0" w:color="auto"/>
      </w:divBdr>
    </w:div>
    <w:div w:id="1692565072">
      <w:bodyDiv w:val="1"/>
      <w:marLeft w:val="0"/>
      <w:marRight w:val="0"/>
      <w:marTop w:val="0"/>
      <w:marBottom w:val="0"/>
      <w:divBdr>
        <w:top w:val="none" w:sz="0" w:space="0" w:color="auto"/>
        <w:left w:val="none" w:sz="0" w:space="0" w:color="auto"/>
        <w:bottom w:val="none" w:sz="0" w:space="0" w:color="auto"/>
        <w:right w:val="none" w:sz="0" w:space="0" w:color="auto"/>
      </w:divBdr>
    </w:div>
    <w:div w:id="1734546454">
      <w:bodyDiv w:val="1"/>
      <w:marLeft w:val="0"/>
      <w:marRight w:val="0"/>
      <w:marTop w:val="0"/>
      <w:marBottom w:val="0"/>
      <w:divBdr>
        <w:top w:val="none" w:sz="0" w:space="0" w:color="auto"/>
        <w:left w:val="none" w:sz="0" w:space="0" w:color="auto"/>
        <w:bottom w:val="none" w:sz="0" w:space="0" w:color="auto"/>
        <w:right w:val="none" w:sz="0" w:space="0" w:color="auto"/>
      </w:divBdr>
    </w:div>
    <w:div w:id="1825078946">
      <w:bodyDiv w:val="1"/>
      <w:marLeft w:val="0"/>
      <w:marRight w:val="0"/>
      <w:marTop w:val="0"/>
      <w:marBottom w:val="0"/>
      <w:divBdr>
        <w:top w:val="none" w:sz="0" w:space="0" w:color="auto"/>
        <w:left w:val="none" w:sz="0" w:space="0" w:color="auto"/>
        <w:bottom w:val="none" w:sz="0" w:space="0" w:color="auto"/>
        <w:right w:val="none" w:sz="0" w:space="0" w:color="auto"/>
      </w:divBdr>
    </w:div>
    <w:div w:id="1865705307">
      <w:bodyDiv w:val="1"/>
      <w:marLeft w:val="0"/>
      <w:marRight w:val="0"/>
      <w:marTop w:val="0"/>
      <w:marBottom w:val="0"/>
      <w:divBdr>
        <w:top w:val="none" w:sz="0" w:space="0" w:color="auto"/>
        <w:left w:val="none" w:sz="0" w:space="0" w:color="auto"/>
        <w:bottom w:val="none" w:sz="0" w:space="0" w:color="auto"/>
        <w:right w:val="none" w:sz="0" w:space="0" w:color="auto"/>
      </w:divBdr>
      <w:divsChild>
        <w:div w:id="2053577449">
          <w:marLeft w:val="0"/>
          <w:marRight w:val="0"/>
          <w:marTop w:val="0"/>
          <w:marBottom w:val="0"/>
          <w:divBdr>
            <w:top w:val="none" w:sz="0" w:space="0" w:color="auto"/>
            <w:left w:val="none" w:sz="0" w:space="0" w:color="auto"/>
            <w:bottom w:val="none" w:sz="0" w:space="0" w:color="auto"/>
            <w:right w:val="none" w:sz="0" w:space="0" w:color="auto"/>
          </w:divBdr>
          <w:divsChild>
            <w:div w:id="469250034">
              <w:marLeft w:val="0"/>
              <w:marRight w:val="0"/>
              <w:marTop w:val="0"/>
              <w:marBottom w:val="0"/>
              <w:divBdr>
                <w:top w:val="none" w:sz="0" w:space="0" w:color="auto"/>
                <w:left w:val="none" w:sz="0" w:space="0" w:color="auto"/>
                <w:bottom w:val="none" w:sz="0" w:space="0" w:color="auto"/>
                <w:right w:val="none" w:sz="0" w:space="0" w:color="auto"/>
              </w:divBdr>
              <w:divsChild>
                <w:div w:id="1400832014">
                  <w:marLeft w:val="0"/>
                  <w:marRight w:val="0"/>
                  <w:marTop w:val="0"/>
                  <w:marBottom w:val="0"/>
                  <w:divBdr>
                    <w:top w:val="none" w:sz="0" w:space="0" w:color="auto"/>
                    <w:left w:val="none" w:sz="0" w:space="0" w:color="auto"/>
                    <w:bottom w:val="none" w:sz="0" w:space="0" w:color="auto"/>
                    <w:right w:val="none" w:sz="0" w:space="0" w:color="auto"/>
                  </w:divBdr>
                  <w:divsChild>
                    <w:div w:id="1331719788">
                      <w:marLeft w:val="0"/>
                      <w:marRight w:val="0"/>
                      <w:marTop w:val="0"/>
                      <w:marBottom w:val="0"/>
                      <w:divBdr>
                        <w:top w:val="none" w:sz="0" w:space="0" w:color="auto"/>
                        <w:left w:val="none" w:sz="0" w:space="0" w:color="auto"/>
                        <w:bottom w:val="none" w:sz="0" w:space="0" w:color="auto"/>
                        <w:right w:val="none" w:sz="0" w:space="0" w:color="auto"/>
                      </w:divBdr>
                      <w:divsChild>
                        <w:div w:id="1182551511">
                          <w:marLeft w:val="0"/>
                          <w:marRight w:val="0"/>
                          <w:marTop w:val="0"/>
                          <w:marBottom w:val="0"/>
                          <w:divBdr>
                            <w:top w:val="none" w:sz="0" w:space="0" w:color="auto"/>
                            <w:left w:val="none" w:sz="0" w:space="0" w:color="auto"/>
                            <w:bottom w:val="none" w:sz="0" w:space="0" w:color="auto"/>
                            <w:right w:val="none" w:sz="0" w:space="0" w:color="auto"/>
                          </w:divBdr>
                          <w:divsChild>
                            <w:div w:id="9586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002/14651858.CD009149.pub2/full" TargetMode="External"/><Relationship Id="rId13" Type="http://schemas.openxmlformats.org/officeDocument/2006/relationships/hyperlink" Target="http://onlinelibrary.wiley.com/doi/10.1002/14651858.CD009587.pub2/full" TargetMode="External"/><Relationship Id="rId18" Type="http://schemas.openxmlformats.org/officeDocument/2006/relationships/hyperlink" Target="http://www.gradeworkinggroup.org/publications/JCE_series.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radeworkinggroup.org/toolbox/index.htm" TargetMode="External"/><Relationship Id="rId7" Type="http://schemas.openxmlformats.org/officeDocument/2006/relationships/endnotes" Target="endnotes.xml"/><Relationship Id="rId12" Type="http://schemas.openxmlformats.org/officeDocument/2006/relationships/hyperlink" Target="http://onlinelibrary.wiley.com/doi/10.1002/14651858.CD009644.pub2/full" TargetMode="External"/><Relationship Id="rId17" Type="http://schemas.openxmlformats.org/officeDocument/2006/relationships/hyperlink" Target="http://www.gradeworkinggroup.org/public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andbook.cochrane.org/chapter_11/11_presenting_results_and_summary_of_findings_tables.htm" TargetMode="External"/><Relationship Id="rId20" Type="http://schemas.openxmlformats.org/officeDocument/2006/relationships/hyperlink" Target="http://tech.cochrane.org/revman/gradep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library.wiley.com/doi/10.1002/14651858.CD001255.pub5/ful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onlinelibrary.wiley.com/doi/10.1002/14651858.CD001255.pub5/abstract" TargetMode="External"/><Relationship Id="rId23" Type="http://schemas.openxmlformats.org/officeDocument/2006/relationships/header" Target="header2.xml"/><Relationship Id="rId10" Type="http://schemas.openxmlformats.org/officeDocument/2006/relationships/hyperlink" Target="http://onlinelibrary.wiley.com/doi/10.1002/14651858.CD010177.pub2/full" TargetMode="External"/><Relationship Id="rId19" Type="http://schemas.openxmlformats.org/officeDocument/2006/relationships/hyperlink" Target="http://www.gradeworkinggroup.org/news.htm" TargetMode="External"/><Relationship Id="rId4" Type="http://schemas.openxmlformats.org/officeDocument/2006/relationships/settings" Target="settings.xml"/><Relationship Id="rId9" Type="http://schemas.openxmlformats.org/officeDocument/2006/relationships/hyperlink" Target="http://onlinelibrary.wiley.com/doi/10.1002/14651858.CD006531.pub2/full" TargetMode="External"/><Relationship Id="rId14" Type="http://schemas.openxmlformats.org/officeDocument/2006/relationships/hyperlink" Target="http://onlinelibrary.wiley.com/doi/10.1002/14651858.CD009987.pub2/abstrac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9C76-A19A-480A-9DAC-ACCAC9AE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7</Pages>
  <Words>2499</Words>
  <Characters>14246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Bond University</Company>
  <LinksUpToDate>false</LinksUpToDate>
  <CharactersWithSpaces>16712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Lasserson</dc:creator>
  <cp:lastModifiedBy>Toby Lasserson</cp:lastModifiedBy>
  <cp:revision>27</cp:revision>
  <dcterms:created xsi:type="dcterms:W3CDTF">2014-05-06T13:57:00Z</dcterms:created>
  <dcterms:modified xsi:type="dcterms:W3CDTF">2014-05-29T09:54:00Z</dcterms:modified>
</cp:coreProperties>
</file>